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cs="宋体"/>
          <w:b/>
          <w:color w:val="FF0000"/>
          <w:spacing w:val="28"/>
          <w:kern w:val="0"/>
          <w:sz w:val="68"/>
          <w:szCs w:val="84"/>
        </w:rPr>
      </w:pPr>
      <w:r>
        <w:rPr>
          <w:spacing w:val="28"/>
        </w:rPr>
        <w:pict>
          <v:line id="Line 2" o:spid="_x0000_s1028" o:spt="20" style="position:absolute;left:0pt;margin-left:-6pt;margin-top:55.5pt;height:0pt;width:427.55pt;z-index:251659264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  <w:r>
        <w:rPr>
          <w:rFonts w:hint="eastAsia" w:ascii="宋体" w:hAnsi="宋体" w:cs="宋体"/>
          <w:color w:val="FF0000"/>
          <w:spacing w:val="28"/>
          <w:sz w:val="78"/>
          <w:szCs w:val="72"/>
        </w:rPr>
        <w:t>厦门国家会计学院</w:t>
      </w:r>
    </w:p>
    <w:p>
      <w:pPr>
        <w:widowControl/>
        <w:spacing w:line="680" w:lineRule="exact"/>
        <w:jc w:val="center"/>
        <w:rPr>
          <w:rFonts w:hint="eastAsia" w:ascii="宋体" w:cs="宋体"/>
          <w:b/>
          <w:color w:val="FF0000"/>
          <w:spacing w:val="28"/>
          <w:kern w:val="0"/>
          <w:sz w:val="68"/>
          <w:szCs w:val="84"/>
        </w:rPr>
      </w:pPr>
      <w:r>
        <w:rPr>
          <w:rFonts w:hint="eastAsia"/>
          <w:b/>
          <w:sz w:val="30"/>
          <w:szCs w:val="30"/>
        </w:rPr>
        <w:t>关于举办“数字征管下的税务稽查案例分析与风险</w:t>
      </w:r>
    </w:p>
    <w:p>
      <w:pPr>
        <w:spacing w:line="680" w:lineRule="exact"/>
        <w:ind w:firstLine="2409" w:firstLineChars="8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规避高级培训班”的通知</w:t>
      </w:r>
    </w:p>
    <w:p>
      <w:pPr>
        <w:spacing w:line="440" w:lineRule="exact"/>
        <w:rPr>
          <w:rFonts w:hint="eastAsia"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各有关单位：</w:t>
      </w:r>
    </w:p>
    <w:p>
      <w:pPr>
        <w:spacing w:line="440" w:lineRule="exact"/>
        <w:ind w:firstLine="480" w:firstLineChars="200"/>
        <w:rPr>
          <w:rFonts w:hint="eastAsia"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2020年8月26日，国家税务总局依托阿里云打造的智慧税务大数据平台建设完成，凭借阿里云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的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强大计算能力，国家税务总局税务系统可以实现30多个省级机关核心税务数据的当日汇总、计算。依据不同业务的管理需要，税务局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可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通过税收大数据的深度挖掘与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当前时点数据的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全面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深入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分析，形成对纳税人量化的、动态的风险/信用评分。</w:t>
      </w:r>
    </w:p>
    <w:p>
      <w:pPr>
        <w:spacing w:line="440" w:lineRule="exact"/>
        <w:ind w:firstLine="480" w:firstLineChars="200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cs="宋体" w:asciiTheme="minorEastAsia" w:hAnsiTheme="minorEastAsia"/>
          <w:bCs/>
          <w:kern w:val="0"/>
          <w:sz w:val="24"/>
          <w:szCs w:val="24"/>
        </w:rPr>
        <w:t>在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大数据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、人工智能和云计算等新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信息技术被广泛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运用到税务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稽查部门的同时，尤其是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金税三期的上线运行和金税四期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的逐步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推行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，纳税人的涉税信息将越来越趋于公开化和透明化。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政府信息共享平台建立后，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我国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税务稽查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迈入了多元化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时代，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税务稽查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也从传统稽查转变到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科技稽查、精准稽查、协同稽查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，从单纯的企业监管转向了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多维度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的信息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技术</w:t>
      </w:r>
      <w:r>
        <w:rPr>
          <w:rFonts w:cs="宋体" w:asciiTheme="minorEastAsia" w:hAnsiTheme="minorEastAsia"/>
          <w:bCs/>
          <w:kern w:val="0"/>
          <w:sz w:val="24"/>
          <w:szCs w:val="24"/>
        </w:rPr>
        <w:t>监管时代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，企业涉税信息极易被快捷获取，纳税人被稽查的风险变得越来越高。</w:t>
      </w:r>
    </w:p>
    <w:p>
      <w:pPr>
        <w:spacing w:line="440" w:lineRule="exact"/>
        <w:ind w:firstLine="502" w:firstLineChars="200"/>
        <w:outlineLvl w:val="2"/>
        <w:rPr>
          <w:rFonts w:cs="宋体" w:asciiTheme="minorEastAsia" w:hAnsiTheme="minorEastAsia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一、培训收益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【洞察新政】紧跟</w:t>
      </w:r>
      <w:r>
        <w:rPr>
          <w:sz w:val="24"/>
          <w:szCs w:val="24"/>
        </w:rPr>
        <w:t>稽查新趋势，</w:t>
      </w:r>
      <w:r>
        <w:rPr>
          <w:rFonts w:hint="eastAsia"/>
          <w:sz w:val="24"/>
          <w:szCs w:val="24"/>
        </w:rPr>
        <w:t>把握税务</w:t>
      </w:r>
      <w:r>
        <w:rPr>
          <w:sz w:val="24"/>
          <w:szCs w:val="24"/>
        </w:rPr>
        <w:t>稽查新形势</w:t>
      </w:r>
      <w:r>
        <w:rPr>
          <w:rFonts w:hint="eastAsia"/>
          <w:sz w:val="24"/>
          <w:szCs w:val="24"/>
        </w:rPr>
        <w:t>、新动向；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【运筹帷幄】轻松应对税务稽查，巧妙化解税务争议问题；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【以案说法】汇集税务稽查</w:t>
      </w:r>
      <w:r>
        <w:rPr>
          <w:sz w:val="24"/>
          <w:szCs w:val="24"/>
        </w:rPr>
        <w:t>典型案例，</w:t>
      </w:r>
      <w:r>
        <w:rPr>
          <w:rFonts w:hint="eastAsia"/>
          <w:sz w:val="24"/>
          <w:szCs w:val="24"/>
        </w:rPr>
        <w:t>举一反三灵活用于实践；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【立足实操】多维度思考问题，精准</w:t>
      </w:r>
      <w:r>
        <w:rPr>
          <w:sz w:val="24"/>
          <w:szCs w:val="24"/>
        </w:rPr>
        <w:t>把控</w:t>
      </w:r>
      <w:r>
        <w:rPr>
          <w:rFonts w:hint="eastAsia"/>
          <w:sz w:val="24"/>
          <w:szCs w:val="24"/>
        </w:rPr>
        <w:t>、从容应对税务稽查风险。</w:t>
      </w:r>
    </w:p>
    <w:p>
      <w:pPr>
        <w:spacing w:line="440" w:lineRule="exact"/>
        <w:ind w:firstLine="502" w:firstLineChars="200"/>
        <w:outlineLvl w:val="2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二、培训对象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企业财务总监、财务经理、财务主管及相关会计人员；税务经理、税务主管</w:t>
      </w:r>
      <w:r>
        <w:rPr>
          <w:rFonts w:hint="eastAsia" w:ascii="宋体" w:hAnsi="宋体" w:cs="宋体"/>
          <w:kern w:val="0"/>
          <w:sz w:val="24"/>
        </w:rPr>
        <w:t>；税务征管</w:t>
      </w:r>
      <w:r>
        <w:rPr>
          <w:rFonts w:ascii="宋体" w:hAnsi="宋体" w:cs="宋体"/>
          <w:kern w:val="0"/>
          <w:sz w:val="24"/>
        </w:rPr>
        <w:t>与稽查工作人员</w:t>
      </w:r>
      <w:r>
        <w:rPr>
          <w:rFonts w:hint="eastAsia" w:ascii="宋体" w:hAnsi="宋体" w:cs="宋体"/>
          <w:kern w:val="0"/>
          <w:sz w:val="24"/>
        </w:rPr>
        <w:t>；高校从事财务会计教学的教师。</w:t>
      </w:r>
    </w:p>
    <w:p>
      <w:pPr>
        <w:pStyle w:val="18"/>
        <w:numPr>
          <w:ilvl w:val="0"/>
          <w:numId w:val="1"/>
        </w:numPr>
        <w:spacing w:line="440" w:lineRule="exact"/>
        <w:ind w:firstLineChars="0"/>
        <w:outlineLvl w:val="2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课程内容</w:t>
      </w:r>
    </w:p>
    <w:p>
      <w:pPr>
        <w:spacing w:line="440" w:lineRule="exact"/>
        <w:ind w:firstLine="482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第一模块：202</w:t>
      </w:r>
      <w:r>
        <w:rPr>
          <w:rFonts w:ascii="宋体" w:hAnsi="宋体" w:cs="宋体"/>
          <w:b/>
          <w:kern w:val="0"/>
          <w:sz w:val="24"/>
        </w:rPr>
        <w:t>1</w:t>
      </w:r>
      <w:r>
        <w:rPr>
          <w:rFonts w:hint="eastAsia" w:ascii="宋体" w:hAnsi="宋体" w:cs="宋体"/>
          <w:b/>
          <w:kern w:val="0"/>
          <w:sz w:val="24"/>
        </w:rPr>
        <w:t>年税务稽查的方向、</w:t>
      </w:r>
      <w:r>
        <w:rPr>
          <w:rFonts w:ascii="宋体" w:hAnsi="宋体" w:cs="宋体"/>
          <w:b/>
          <w:kern w:val="0"/>
          <w:sz w:val="24"/>
        </w:rPr>
        <w:t>趋势和</w:t>
      </w:r>
      <w:r>
        <w:rPr>
          <w:rFonts w:hint="eastAsia" w:ascii="宋体" w:hAnsi="宋体" w:cs="宋体"/>
          <w:b/>
          <w:kern w:val="0"/>
          <w:sz w:val="24"/>
        </w:rPr>
        <w:t>重点</w:t>
      </w:r>
    </w:p>
    <w:p>
      <w:pPr>
        <w:spacing w:line="440" w:lineRule="exact"/>
        <w:ind w:left="48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1、大数据全监管</w:t>
      </w:r>
      <w:r>
        <w:rPr>
          <w:rFonts w:ascii="宋体" w:hAnsi="宋体" w:cs="宋体"/>
          <w:bCs/>
          <w:sz w:val="24"/>
        </w:rPr>
        <w:t>下</w:t>
      </w:r>
      <w:r>
        <w:rPr>
          <w:rFonts w:hint="eastAsia" w:ascii="宋体" w:hAnsi="宋体" w:cs="宋体"/>
          <w:bCs/>
          <w:sz w:val="24"/>
        </w:rPr>
        <w:t>，税务稽查有哪些新变化</w:t>
      </w:r>
      <w:r>
        <w:rPr>
          <w:rFonts w:ascii="宋体" w:hAnsi="宋体" w:cs="宋体"/>
          <w:bCs/>
          <w:sz w:val="24"/>
        </w:rPr>
        <w:t>和新趋势</w:t>
      </w:r>
      <w:r>
        <w:rPr>
          <w:rFonts w:hint="eastAsia" w:ascii="宋体" w:hAnsi="宋体" w:cs="宋体"/>
          <w:bCs/>
          <w:sz w:val="24"/>
        </w:rPr>
        <w:t>？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2、大数据全监管下，</w:t>
      </w:r>
      <w:r>
        <w:rPr>
          <w:rFonts w:ascii="宋体" w:hAnsi="宋体" w:cs="宋体"/>
          <w:bCs/>
          <w:sz w:val="24"/>
        </w:rPr>
        <w:t>税务稽查从抽查、轮查转向全面高风险应对发展，给企业带来哪些问题？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3、新税改、</w:t>
      </w:r>
      <w:r>
        <w:rPr>
          <w:rFonts w:ascii="宋体" w:hAnsi="宋体" w:cs="宋体"/>
          <w:bCs/>
          <w:sz w:val="24"/>
        </w:rPr>
        <w:t>金</w:t>
      </w:r>
      <w:r>
        <w:rPr>
          <w:rFonts w:hint="eastAsia" w:ascii="宋体" w:hAnsi="宋体" w:cs="宋体"/>
          <w:bCs/>
          <w:sz w:val="24"/>
        </w:rPr>
        <w:t>三</w:t>
      </w:r>
      <w:r>
        <w:rPr>
          <w:rFonts w:ascii="宋体" w:hAnsi="宋体" w:cs="宋体"/>
          <w:bCs/>
          <w:sz w:val="24"/>
        </w:rPr>
        <w:t>系统</w:t>
      </w:r>
      <w:r>
        <w:rPr>
          <w:rFonts w:hint="eastAsia" w:ascii="宋体" w:hAnsi="宋体" w:cs="宋体"/>
          <w:bCs/>
          <w:sz w:val="24"/>
        </w:rPr>
        <w:t>并库等</w:t>
      </w:r>
      <w:r>
        <w:rPr>
          <w:rFonts w:ascii="宋体" w:hAnsi="宋体" w:cs="宋体"/>
          <w:bCs/>
          <w:sz w:val="24"/>
        </w:rPr>
        <w:t>新环境下，企业</w:t>
      </w:r>
      <w:r>
        <w:rPr>
          <w:rFonts w:hint="eastAsia" w:ascii="宋体" w:hAnsi="宋体" w:cs="宋体"/>
          <w:bCs/>
          <w:sz w:val="24"/>
        </w:rPr>
        <w:t>如何</w:t>
      </w:r>
      <w:r>
        <w:rPr>
          <w:rFonts w:ascii="宋体" w:hAnsi="宋体" w:cs="宋体"/>
          <w:bCs/>
          <w:sz w:val="24"/>
        </w:rPr>
        <w:t>应对税务稽查</w:t>
      </w:r>
      <w:r>
        <w:rPr>
          <w:rFonts w:hint="eastAsia" w:ascii="宋体" w:hAnsi="宋体" w:cs="宋体"/>
          <w:bCs/>
          <w:sz w:val="24"/>
        </w:rPr>
        <w:t>？</w:t>
      </w:r>
    </w:p>
    <w:p>
      <w:pPr>
        <w:spacing w:line="440" w:lineRule="exact"/>
        <w:ind w:left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4</w:t>
      </w:r>
      <w:r>
        <w:rPr>
          <w:rFonts w:hint="eastAsia" w:ascii="宋体" w:hAnsi="宋体" w:cs="宋体"/>
          <w:bCs/>
          <w:sz w:val="24"/>
        </w:rPr>
        <w:t>、三张财务</w:t>
      </w:r>
      <w:r>
        <w:rPr>
          <w:rFonts w:ascii="宋体" w:hAnsi="宋体" w:cs="宋体"/>
          <w:bCs/>
          <w:sz w:val="24"/>
        </w:rPr>
        <w:t>报表给税务机关提供了哪些涉税信息</w:t>
      </w:r>
      <w:r>
        <w:rPr>
          <w:rFonts w:hint="eastAsia" w:ascii="宋体" w:hAnsi="宋体" w:cs="宋体"/>
          <w:bCs/>
          <w:sz w:val="24"/>
        </w:rPr>
        <w:t>？</w:t>
      </w:r>
    </w:p>
    <w:p>
      <w:pPr>
        <w:spacing w:line="440" w:lineRule="exact"/>
        <w:ind w:left="48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5、金税四期正在</w:t>
      </w:r>
      <w:r>
        <w:rPr>
          <w:rFonts w:ascii="宋体" w:hAnsi="宋体" w:cs="宋体"/>
          <w:bCs/>
          <w:sz w:val="24"/>
        </w:rPr>
        <w:t>逐步上线，企业应如何管理电子票据？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6</w:t>
      </w:r>
      <w:r>
        <w:rPr>
          <w:rFonts w:hint="eastAsia" w:ascii="宋体" w:hAnsi="宋体" w:cs="宋体"/>
          <w:bCs/>
          <w:sz w:val="24"/>
        </w:rPr>
        <w:t>、大数据全监控下</w:t>
      </w:r>
      <w:r>
        <w:rPr>
          <w:rFonts w:ascii="宋体" w:hAnsi="宋体" w:cs="宋体"/>
          <w:bCs/>
          <w:sz w:val="24"/>
        </w:rPr>
        <w:t>，如何从</w:t>
      </w:r>
      <w:r>
        <w:rPr>
          <w:rFonts w:hint="eastAsia" w:ascii="宋体" w:hAnsi="宋体" w:cs="宋体"/>
          <w:bCs/>
          <w:sz w:val="24"/>
        </w:rPr>
        <w:t>稽查典型案例中汲取</w:t>
      </w:r>
      <w:r>
        <w:rPr>
          <w:rFonts w:ascii="宋体" w:hAnsi="宋体" w:cs="宋体"/>
          <w:bCs/>
          <w:sz w:val="24"/>
        </w:rPr>
        <w:t>经验</w:t>
      </w:r>
      <w:r>
        <w:rPr>
          <w:rFonts w:hint="eastAsia" w:ascii="宋体" w:hAnsi="宋体" w:cs="宋体"/>
          <w:bCs/>
          <w:sz w:val="24"/>
        </w:rPr>
        <w:t>教训</w:t>
      </w:r>
      <w:r>
        <w:rPr>
          <w:rFonts w:ascii="宋体" w:hAnsi="宋体" w:cs="宋体"/>
          <w:bCs/>
          <w:sz w:val="24"/>
        </w:rPr>
        <w:t>，</w:t>
      </w:r>
      <w:r>
        <w:rPr>
          <w:rFonts w:hint="eastAsia" w:ascii="宋体" w:hAnsi="宋体" w:cs="宋体"/>
          <w:bCs/>
          <w:sz w:val="24"/>
        </w:rPr>
        <w:t>以有效</w:t>
      </w:r>
      <w:r>
        <w:rPr>
          <w:rFonts w:ascii="宋体" w:hAnsi="宋体" w:cs="宋体"/>
          <w:bCs/>
          <w:sz w:val="24"/>
        </w:rPr>
        <w:t>应对税务检查</w:t>
      </w:r>
      <w:r>
        <w:rPr>
          <w:rFonts w:hint="eastAsia" w:ascii="宋体" w:hAnsi="宋体" w:cs="宋体"/>
          <w:bCs/>
          <w:sz w:val="24"/>
        </w:rPr>
        <w:t>、</w:t>
      </w:r>
      <w:r>
        <w:rPr>
          <w:rFonts w:ascii="宋体" w:hAnsi="宋体" w:cs="宋体"/>
          <w:bCs/>
          <w:sz w:val="24"/>
        </w:rPr>
        <w:t>防控</w:t>
      </w:r>
      <w:r>
        <w:rPr>
          <w:rFonts w:hint="eastAsia" w:ascii="宋体" w:hAnsi="宋体" w:cs="宋体"/>
          <w:bCs/>
          <w:sz w:val="24"/>
        </w:rPr>
        <w:t>税务风险？</w:t>
      </w:r>
    </w:p>
    <w:p>
      <w:pPr>
        <w:spacing w:line="440" w:lineRule="exact"/>
        <w:ind w:firstLine="482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第二模块：大数据征管</w:t>
      </w:r>
      <w:r>
        <w:rPr>
          <w:rFonts w:ascii="宋体" w:hAnsi="宋体" w:cs="宋体"/>
          <w:b/>
          <w:kern w:val="0"/>
          <w:sz w:val="24"/>
        </w:rPr>
        <w:t>下</w:t>
      </w:r>
      <w:r>
        <w:rPr>
          <w:rFonts w:hint="eastAsia" w:ascii="宋体" w:hAnsi="宋体" w:cs="宋体"/>
          <w:b/>
          <w:kern w:val="0"/>
          <w:sz w:val="24"/>
        </w:rPr>
        <w:t>的</w:t>
      </w:r>
      <w:r>
        <w:rPr>
          <w:rFonts w:ascii="宋体" w:hAnsi="宋体" w:cs="宋体"/>
          <w:b/>
          <w:kern w:val="0"/>
          <w:sz w:val="24"/>
        </w:rPr>
        <w:t>增值税</w:t>
      </w:r>
      <w:r>
        <w:rPr>
          <w:rFonts w:hint="eastAsia" w:ascii="宋体" w:hAnsi="宋体" w:cs="宋体"/>
          <w:b/>
          <w:kern w:val="0"/>
          <w:sz w:val="24"/>
        </w:rPr>
        <w:t>稽查</w:t>
      </w:r>
      <w:r>
        <w:rPr>
          <w:rFonts w:ascii="宋体" w:hAnsi="宋体" w:cs="宋体"/>
          <w:b/>
          <w:kern w:val="0"/>
          <w:sz w:val="24"/>
        </w:rPr>
        <w:t>应对与风险化解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1、进项税额的稽查应对、风险管控及</w:t>
      </w:r>
      <w:r>
        <w:rPr>
          <w:rFonts w:ascii="宋体" w:hAnsi="宋体" w:cs="宋体"/>
          <w:bCs/>
          <w:sz w:val="24"/>
        </w:rPr>
        <w:t>化解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2、电子普票</w:t>
      </w:r>
      <w:r>
        <w:rPr>
          <w:rFonts w:ascii="宋体" w:hAnsi="宋体" w:cs="宋体"/>
          <w:bCs/>
          <w:sz w:val="24"/>
        </w:rPr>
        <w:t>与电子专票的</w:t>
      </w:r>
      <w:r>
        <w:rPr>
          <w:rFonts w:hint="eastAsia" w:ascii="宋体" w:hAnsi="宋体" w:cs="宋体"/>
          <w:bCs/>
          <w:sz w:val="24"/>
        </w:rPr>
        <w:t>税务管理</w:t>
      </w:r>
      <w:r>
        <w:rPr>
          <w:rFonts w:ascii="宋体" w:hAnsi="宋体" w:cs="宋体"/>
          <w:bCs/>
          <w:sz w:val="24"/>
        </w:rPr>
        <w:t>与</w:t>
      </w:r>
      <w:r>
        <w:rPr>
          <w:rFonts w:hint="eastAsia" w:ascii="宋体" w:hAnsi="宋体" w:cs="宋体"/>
          <w:bCs/>
          <w:sz w:val="24"/>
        </w:rPr>
        <w:t>稽查风险；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3、增值税的</w:t>
      </w:r>
      <w:r>
        <w:rPr>
          <w:rFonts w:ascii="宋体" w:hAnsi="宋体" w:cs="宋体"/>
          <w:bCs/>
          <w:sz w:val="24"/>
        </w:rPr>
        <w:t>税负测算与认识误区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spacing w:line="440" w:lineRule="exact"/>
        <w:ind w:firstLine="482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第三模块：大数据征管</w:t>
      </w:r>
      <w:r>
        <w:rPr>
          <w:rFonts w:ascii="宋体" w:hAnsi="宋体" w:cs="宋体"/>
          <w:b/>
          <w:kern w:val="0"/>
          <w:sz w:val="24"/>
        </w:rPr>
        <w:t>下的</w:t>
      </w:r>
      <w:r>
        <w:rPr>
          <w:rFonts w:hint="eastAsia" w:ascii="宋体" w:hAnsi="宋体" w:cs="宋体"/>
          <w:b/>
          <w:kern w:val="0"/>
          <w:sz w:val="24"/>
        </w:rPr>
        <w:t>企业所得税稽查要点与风险应对策略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1、企业所得税稽查</w:t>
      </w:r>
      <w:r>
        <w:rPr>
          <w:rFonts w:ascii="宋体" w:hAnsi="宋体" w:cs="宋体"/>
          <w:bCs/>
          <w:sz w:val="24"/>
        </w:rPr>
        <w:t>要点</w:t>
      </w:r>
      <w:r>
        <w:rPr>
          <w:rFonts w:hint="eastAsia" w:ascii="宋体" w:hAnsi="宋体" w:cs="宋体"/>
          <w:bCs/>
          <w:sz w:val="24"/>
        </w:rPr>
        <w:t>、</w:t>
      </w:r>
      <w:r>
        <w:rPr>
          <w:rFonts w:ascii="宋体" w:hAnsi="宋体" w:cs="宋体"/>
          <w:bCs/>
          <w:sz w:val="24"/>
        </w:rPr>
        <w:t>常见稽查风险</w:t>
      </w:r>
      <w:r>
        <w:rPr>
          <w:rFonts w:hint="eastAsia" w:ascii="宋体" w:hAnsi="宋体" w:cs="宋体"/>
          <w:bCs/>
          <w:sz w:val="24"/>
        </w:rPr>
        <w:t>及</w:t>
      </w:r>
      <w:r>
        <w:rPr>
          <w:rFonts w:ascii="宋体" w:hAnsi="宋体" w:cs="宋体"/>
          <w:bCs/>
          <w:sz w:val="24"/>
        </w:rPr>
        <w:t>实务案例分析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2、企业税收优惠政策稽查实务案例剖析与风险规避策略；</w:t>
      </w:r>
    </w:p>
    <w:p>
      <w:pPr>
        <w:spacing w:line="440" w:lineRule="exact"/>
        <w:ind w:left="48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3、企业融资费用</w:t>
      </w:r>
      <w:r>
        <w:rPr>
          <w:rFonts w:ascii="宋体" w:hAnsi="宋体" w:cs="宋体"/>
          <w:bCs/>
          <w:sz w:val="24"/>
        </w:rPr>
        <w:t>的税务稽查问题及应对策略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4、所得税成本核算</w:t>
      </w:r>
      <w:r>
        <w:rPr>
          <w:rFonts w:ascii="宋体" w:hAnsi="宋体" w:cs="宋体"/>
          <w:bCs/>
          <w:sz w:val="24"/>
        </w:rPr>
        <w:t>的</w:t>
      </w:r>
      <w:r>
        <w:rPr>
          <w:rFonts w:hint="eastAsia" w:ascii="宋体" w:hAnsi="宋体" w:cs="宋体"/>
          <w:bCs/>
          <w:sz w:val="24"/>
        </w:rPr>
        <w:t>税务稽查风险</w:t>
      </w:r>
      <w:r>
        <w:rPr>
          <w:rFonts w:ascii="宋体" w:hAnsi="宋体" w:cs="宋体"/>
          <w:bCs/>
          <w:sz w:val="24"/>
        </w:rPr>
        <w:t>及规避</w:t>
      </w:r>
      <w:r>
        <w:rPr>
          <w:rFonts w:hint="eastAsia" w:ascii="宋体" w:hAnsi="宋体" w:cs="宋体"/>
          <w:bCs/>
          <w:sz w:val="24"/>
        </w:rPr>
        <w:t>策略；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5、所得税</w:t>
      </w:r>
      <w:r>
        <w:rPr>
          <w:rFonts w:ascii="宋体" w:hAnsi="宋体" w:cs="宋体"/>
          <w:bCs/>
          <w:sz w:val="24"/>
        </w:rPr>
        <w:t>费用处理的税务稽查风险及</w:t>
      </w:r>
      <w:r>
        <w:rPr>
          <w:rFonts w:hint="eastAsia" w:ascii="宋体" w:hAnsi="宋体" w:cs="宋体"/>
          <w:bCs/>
          <w:sz w:val="24"/>
        </w:rPr>
        <w:t>规避策略</w:t>
      </w:r>
      <w:r>
        <w:rPr>
          <w:rFonts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6、薪酬相关支出的</w:t>
      </w:r>
      <w:r>
        <w:rPr>
          <w:rFonts w:ascii="宋体" w:hAnsi="宋体" w:cs="宋体"/>
          <w:bCs/>
          <w:sz w:val="24"/>
        </w:rPr>
        <w:t>税务稽查</w:t>
      </w:r>
      <w:r>
        <w:rPr>
          <w:rFonts w:hint="eastAsia" w:ascii="宋体" w:hAnsi="宋体" w:cs="宋体"/>
          <w:bCs/>
          <w:sz w:val="24"/>
        </w:rPr>
        <w:t>评估与风险点。</w:t>
      </w:r>
    </w:p>
    <w:p>
      <w:pPr>
        <w:spacing w:line="440" w:lineRule="exact"/>
        <w:ind w:firstLine="482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第四模块：大数据征管</w:t>
      </w:r>
      <w:r>
        <w:rPr>
          <w:rFonts w:ascii="宋体" w:hAnsi="宋体" w:cs="宋体"/>
          <w:b/>
          <w:kern w:val="0"/>
          <w:sz w:val="24"/>
        </w:rPr>
        <w:t>下的</w:t>
      </w:r>
      <w:r>
        <w:rPr>
          <w:rFonts w:hint="eastAsia" w:ascii="宋体" w:hAnsi="宋体" w:cs="宋体"/>
          <w:b/>
          <w:kern w:val="0"/>
          <w:sz w:val="24"/>
        </w:rPr>
        <w:t>个人所得税监管与稽查应对策略</w:t>
      </w:r>
    </w:p>
    <w:p>
      <w:pPr>
        <w:spacing w:line="440" w:lineRule="exact"/>
        <w:ind w:firstLine="480" w:firstLineChars="200"/>
        <w:outlineLvl w:val="2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1、综合所得的税务稽查</w:t>
      </w:r>
      <w:r>
        <w:rPr>
          <w:rFonts w:ascii="宋体" w:hAnsi="宋体" w:cs="宋体"/>
          <w:bCs/>
          <w:sz w:val="24"/>
        </w:rPr>
        <w:t>要点及风险规避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left="48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2、企业如何有效防控个人所得税</w:t>
      </w:r>
      <w:r>
        <w:rPr>
          <w:rFonts w:ascii="宋体" w:hAnsi="宋体" w:cs="宋体"/>
          <w:bCs/>
          <w:sz w:val="24"/>
        </w:rPr>
        <w:t>风险</w:t>
      </w:r>
      <w:r>
        <w:rPr>
          <w:rFonts w:hint="eastAsia" w:ascii="宋体" w:hAnsi="宋体" w:cs="宋体"/>
          <w:bCs/>
          <w:sz w:val="24"/>
        </w:rPr>
        <w:t>的税收监控；</w:t>
      </w:r>
    </w:p>
    <w:p>
      <w:pPr>
        <w:spacing w:line="440" w:lineRule="exact"/>
        <w:ind w:left="48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3、不同用工筹划模式下，个税检查</w:t>
      </w:r>
      <w:r>
        <w:rPr>
          <w:rFonts w:ascii="宋体" w:hAnsi="宋体" w:cs="宋体"/>
          <w:bCs/>
          <w:sz w:val="24"/>
        </w:rPr>
        <w:t>风险的控制点</w:t>
      </w:r>
      <w:r>
        <w:rPr>
          <w:rFonts w:hint="eastAsia" w:ascii="宋体" w:hAnsi="宋体" w:cs="宋体"/>
          <w:bCs/>
          <w:sz w:val="24"/>
        </w:rPr>
        <w:t>及</w:t>
      </w:r>
      <w:r>
        <w:rPr>
          <w:rFonts w:ascii="宋体" w:hAnsi="宋体" w:cs="宋体"/>
          <w:bCs/>
          <w:sz w:val="24"/>
        </w:rPr>
        <w:t>实务案例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4、自然人</w:t>
      </w:r>
      <w:r>
        <w:rPr>
          <w:rFonts w:ascii="宋体" w:hAnsi="宋体" w:cs="宋体"/>
          <w:bCs/>
          <w:sz w:val="24"/>
        </w:rPr>
        <w:t>股权交易的个税稽查风险及洼地筹划“</w:t>
      </w:r>
      <w:r>
        <w:rPr>
          <w:rFonts w:hint="eastAsia" w:ascii="宋体" w:hAnsi="宋体" w:cs="宋体"/>
          <w:bCs/>
          <w:sz w:val="24"/>
        </w:rPr>
        <w:t>陷阱</w:t>
      </w:r>
      <w:r>
        <w:rPr>
          <w:rFonts w:ascii="宋体" w:hAnsi="宋体" w:cs="宋体"/>
          <w:bCs/>
          <w:sz w:val="24"/>
        </w:rPr>
        <w:t>”</w:t>
      </w:r>
      <w:r>
        <w:rPr>
          <w:rFonts w:hint="eastAsia" w:ascii="宋体" w:hAnsi="宋体" w:cs="宋体"/>
          <w:bCs/>
          <w:sz w:val="24"/>
        </w:rPr>
        <w:t>问题；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5、股息红利</w:t>
      </w:r>
      <w:r>
        <w:rPr>
          <w:rFonts w:ascii="宋体" w:hAnsi="宋体" w:cs="宋体"/>
          <w:bCs/>
          <w:sz w:val="24"/>
        </w:rPr>
        <w:t>等资本利得的税务稽查及洼地筹划“</w:t>
      </w:r>
      <w:r>
        <w:rPr>
          <w:rFonts w:hint="eastAsia" w:ascii="宋体" w:hAnsi="宋体" w:cs="宋体"/>
          <w:bCs/>
          <w:sz w:val="24"/>
        </w:rPr>
        <w:t>误区</w:t>
      </w:r>
      <w:r>
        <w:rPr>
          <w:rFonts w:ascii="宋体" w:hAnsi="宋体" w:cs="宋体"/>
          <w:bCs/>
          <w:sz w:val="24"/>
        </w:rPr>
        <w:t>”</w:t>
      </w:r>
      <w:r>
        <w:rPr>
          <w:rFonts w:hint="eastAsia" w:ascii="宋体" w:hAnsi="宋体" w:cs="宋体"/>
          <w:bCs/>
          <w:sz w:val="24"/>
        </w:rPr>
        <w:t>问题；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6、</w:t>
      </w:r>
      <w:r>
        <w:rPr>
          <w:rFonts w:hint="eastAsia" w:cs="宋体" w:asciiTheme="minorEastAsia" w:hAnsiTheme="minorEastAsia"/>
          <w:bCs/>
          <w:kern w:val="0"/>
          <w:sz w:val="24"/>
        </w:rPr>
        <w:t>股权激励与</w:t>
      </w:r>
      <w:r>
        <w:rPr>
          <w:rFonts w:cs="宋体" w:asciiTheme="minorEastAsia" w:hAnsiTheme="minorEastAsia"/>
          <w:bCs/>
          <w:kern w:val="0"/>
          <w:sz w:val="24"/>
        </w:rPr>
        <w:t>转让</w:t>
      </w:r>
      <w:r>
        <w:rPr>
          <w:rFonts w:hint="eastAsia" w:cs="宋体" w:asciiTheme="minorEastAsia" w:hAnsiTheme="minorEastAsia"/>
          <w:bCs/>
          <w:kern w:val="0"/>
          <w:sz w:val="24"/>
        </w:rPr>
        <w:t>、房屋</w:t>
      </w:r>
      <w:r>
        <w:rPr>
          <w:rFonts w:cs="宋体" w:asciiTheme="minorEastAsia" w:hAnsiTheme="minorEastAsia"/>
          <w:bCs/>
          <w:kern w:val="0"/>
          <w:sz w:val="24"/>
        </w:rPr>
        <w:t>等财产租赁</w:t>
      </w:r>
      <w:r>
        <w:rPr>
          <w:rFonts w:hint="eastAsia" w:cs="宋体" w:asciiTheme="minorEastAsia" w:hAnsiTheme="minorEastAsia"/>
          <w:bCs/>
          <w:kern w:val="0"/>
          <w:sz w:val="24"/>
        </w:rPr>
        <w:t>与转让</w:t>
      </w:r>
      <w:r>
        <w:rPr>
          <w:rFonts w:cs="宋体" w:asciiTheme="minorEastAsia" w:hAnsiTheme="minorEastAsia"/>
          <w:bCs/>
          <w:kern w:val="0"/>
          <w:sz w:val="24"/>
        </w:rPr>
        <w:t>的个税</w:t>
      </w:r>
      <w:r>
        <w:rPr>
          <w:rFonts w:hint="eastAsia" w:cs="宋体" w:asciiTheme="minorEastAsia" w:hAnsiTheme="minorEastAsia"/>
          <w:bCs/>
          <w:kern w:val="0"/>
          <w:sz w:val="24"/>
        </w:rPr>
        <w:t>稽查问题及</w:t>
      </w:r>
      <w:r>
        <w:rPr>
          <w:rFonts w:cs="宋体" w:asciiTheme="minorEastAsia" w:hAnsiTheme="minorEastAsia"/>
          <w:bCs/>
          <w:kern w:val="0"/>
          <w:sz w:val="24"/>
        </w:rPr>
        <w:t>应对</w:t>
      </w:r>
      <w:r>
        <w:rPr>
          <w:rFonts w:hint="eastAsia" w:cs="宋体" w:asciiTheme="minorEastAsia" w:hAnsiTheme="minorEastAsia"/>
          <w:bCs/>
          <w:kern w:val="0"/>
          <w:sz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第五模块：大数据征管</w:t>
      </w:r>
      <w:r>
        <w:rPr>
          <w:rFonts w:ascii="宋体" w:hAnsi="宋体" w:cs="宋体"/>
          <w:b/>
          <w:kern w:val="0"/>
          <w:sz w:val="24"/>
        </w:rPr>
        <w:t>下的</w:t>
      </w:r>
      <w:r>
        <w:rPr>
          <w:rFonts w:hint="eastAsia" w:ascii="宋体" w:hAnsi="宋体" w:cs="宋体"/>
          <w:b/>
          <w:kern w:val="0"/>
          <w:sz w:val="24"/>
        </w:rPr>
        <w:t>特殊业务</w:t>
      </w:r>
      <w:r>
        <w:rPr>
          <w:rFonts w:ascii="宋体" w:hAnsi="宋体" w:cs="宋体"/>
          <w:b/>
          <w:kern w:val="0"/>
          <w:sz w:val="24"/>
        </w:rPr>
        <w:t>事项</w:t>
      </w:r>
      <w:r>
        <w:rPr>
          <w:rFonts w:hint="eastAsia" w:ascii="宋体" w:hAnsi="宋体" w:cs="宋体"/>
          <w:b/>
          <w:kern w:val="0"/>
          <w:sz w:val="24"/>
        </w:rPr>
        <w:t>税务</w:t>
      </w:r>
      <w:r>
        <w:rPr>
          <w:rFonts w:ascii="宋体" w:hAnsi="宋体" w:cs="宋体"/>
          <w:b/>
          <w:kern w:val="0"/>
          <w:sz w:val="24"/>
        </w:rPr>
        <w:t>稽查</w:t>
      </w:r>
      <w:r>
        <w:rPr>
          <w:rFonts w:hint="eastAsia" w:ascii="宋体" w:hAnsi="宋体" w:cs="宋体"/>
          <w:b/>
          <w:kern w:val="0"/>
          <w:sz w:val="24"/>
        </w:rPr>
        <w:t>与风险控制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1、企业并购重组的稽查应对与</w:t>
      </w:r>
      <w:r>
        <w:rPr>
          <w:rFonts w:ascii="宋体" w:hAnsi="宋体" w:cs="宋体"/>
          <w:bCs/>
          <w:sz w:val="24"/>
        </w:rPr>
        <w:t>风险</w:t>
      </w:r>
      <w:r>
        <w:rPr>
          <w:rFonts w:hint="eastAsia" w:ascii="宋体" w:hAnsi="宋体" w:cs="宋体"/>
          <w:bCs/>
          <w:sz w:val="24"/>
        </w:rPr>
        <w:t>规避</w:t>
      </w:r>
      <w:r>
        <w:rPr>
          <w:rFonts w:ascii="宋体" w:hAnsi="宋体" w:cs="宋体"/>
          <w:bCs/>
          <w:sz w:val="24"/>
        </w:rPr>
        <w:t>策略；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2、非货币性交易业务</w:t>
      </w:r>
      <w:r>
        <w:rPr>
          <w:rFonts w:ascii="宋体" w:hAnsi="宋体" w:cs="宋体"/>
          <w:bCs/>
          <w:sz w:val="24"/>
        </w:rPr>
        <w:t>的</w:t>
      </w:r>
      <w:r>
        <w:rPr>
          <w:rFonts w:hint="eastAsia" w:ascii="宋体" w:hAnsi="宋体" w:cs="宋体"/>
          <w:bCs/>
          <w:sz w:val="24"/>
        </w:rPr>
        <w:t>税务稽查与应对；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3、股权</w:t>
      </w:r>
      <w:r>
        <w:rPr>
          <w:rFonts w:ascii="宋体" w:hAnsi="宋体" w:cs="宋体"/>
          <w:bCs/>
          <w:sz w:val="24"/>
        </w:rPr>
        <w:t>特殊事项（</w:t>
      </w:r>
      <w:r>
        <w:rPr>
          <w:rFonts w:hint="eastAsia" w:ascii="宋体" w:hAnsi="宋体" w:cs="宋体"/>
          <w:bCs/>
          <w:sz w:val="24"/>
        </w:rPr>
        <w:t>股东变更</w:t>
      </w:r>
      <w:r>
        <w:rPr>
          <w:rFonts w:ascii="宋体" w:hAnsi="宋体" w:cs="宋体"/>
          <w:bCs/>
          <w:sz w:val="24"/>
        </w:rPr>
        <w:t>、</w:t>
      </w:r>
      <w:r>
        <w:rPr>
          <w:rFonts w:hint="eastAsia" w:ascii="宋体" w:hAnsi="宋体" w:cs="宋体"/>
          <w:bCs/>
          <w:sz w:val="24"/>
        </w:rPr>
        <w:t>盈余分配</w:t>
      </w:r>
      <w:r>
        <w:rPr>
          <w:rFonts w:ascii="宋体" w:hAnsi="宋体" w:cs="宋体"/>
          <w:bCs/>
          <w:sz w:val="24"/>
        </w:rPr>
        <w:t>、资本公积转</w:t>
      </w:r>
      <w:r>
        <w:rPr>
          <w:rFonts w:hint="eastAsia" w:ascii="宋体" w:hAnsi="宋体" w:cs="宋体"/>
          <w:bCs/>
          <w:sz w:val="24"/>
        </w:rPr>
        <w:t>增</w:t>
      </w:r>
      <w:r>
        <w:rPr>
          <w:rFonts w:ascii="宋体" w:hAnsi="宋体" w:cs="宋体"/>
          <w:bCs/>
          <w:sz w:val="24"/>
        </w:rPr>
        <w:t>等）</w:t>
      </w:r>
      <w:r>
        <w:rPr>
          <w:rFonts w:hint="eastAsia" w:ascii="宋体" w:hAnsi="宋体" w:cs="宋体"/>
          <w:bCs/>
          <w:sz w:val="24"/>
        </w:rPr>
        <w:t>的</w:t>
      </w:r>
      <w:r>
        <w:rPr>
          <w:rFonts w:ascii="宋体" w:hAnsi="宋体" w:cs="宋体"/>
          <w:bCs/>
          <w:sz w:val="24"/>
        </w:rPr>
        <w:t>税务稽查风险与应对策略；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4、税收洼地</w:t>
      </w:r>
      <w:r>
        <w:rPr>
          <w:rFonts w:ascii="宋体" w:hAnsi="宋体" w:cs="宋体"/>
          <w:bCs/>
          <w:sz w:val="24"/>
        </w:rPr>
        <w:t>企业的稽查风险与规避策略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第六模块：大数据征管</w:t>
      </w:r>
      <w:r>
        <w:rPr>
          <w:rFonts w:ascii="宋体" w:hAnsi="宋体" w:cs="宋体"/>
          <w:b/>
          <w:bCs/>
          <w:sz w:val="24"/>
        </w:rPr>
        <w:t>下的</w:t>
      </w:r>
      <w:r>
        <w:rPr>
          <w:rFonts w:hint="eastAsia" w:ascii="宋体" w:hAnsi="宋体" w:cs="宋体"/>
          <w:b/>
          <w:bCs/>
          <w:sz w:val="24"/>
        </w:rPr>
        <w:t>小税种税务</w:t>
      </w:r>
      <w:r>
        <w:rPr>
          <w:rFonts w:ascii="宋体" w:hAnsi="宋体" w:cs="宋体"/>
          <w:b/>
          <w:bCs/>
          <w:sz w:val="24"/>
        </w:rPr>
        <w:t>稽查</w:t>
      </w:r>
      <w:r>
        <w:rPr>
          <w:rFonts w:hint="eastAsia" w:ascii="宋体" w:hAnsi="宋体" w:cs="宋体"/>
          <w:b/>
          <w:bCs/>
          <w:sz w:val="24"/>
        </w:rPr>
        <w:t>与风险防范策略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1、房产税和</w:t>
      </w:r>
      <w:r>
        <w:rPr>
          <w:rFonts w:ascii="宋体" w:hAnsi="宋体" w:cs="宋体"/>
          <w:bCs/>
          <w:sz w:val="24"/>
        </w:rPr>
        <w:t>土地使用税</w:t>
      </w:r>
      <w:r>
        <w:rPr>
          <w:rFonts w:hint="eastAsia" w:ascii="宋体" w:hAnsi="宋体" w:cs="宋体"/>
          <w:bCs/>
          <w:sz w:val="24"/>
        </w:rPr>
        <w:t>的稽查风险点与应对策略及</w:t>
      </w:r>
      <w:r>
        <w:rPr>
          <w:rFonts w:ascii="宋体" w:hAnsi="宋体" w:cs="宋体"/>
          <w:bCs/>
          <w:sz w:val="24"/>
        </w:rPr>
        <w:t>实务案例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2</w:t>
      </w:r>
      <w:r>
        <w:rPr>
          <w:rFonts w:hint="eastAsia" w:ascii="宋体" w:hAnsi="宋体" w:cs="宋体"/>
          <w:bCs/>
          <w:sz w:val="24"/>
        </w:rPr>
        <w:t>、印花税和</w:t>
      </w:r>
      <w:r>
        <w:rPr>
          <w:rFonts w:ascii="宋体" w:hAnsi="宋体" w:cs="宋体"/>
          <w:bCs/>
          <w:sz w:val="24"/>
        </w:rPr>
        <w:t>契税的</w:t>
      </w:r>
      <w:r>
        <w:rPr>
          <w:rFonts w:hint="eastAsia" w:ascii="宋体" w:hAnsi="宋体" w:cs="宋体"/>
          <w:bCs/>
          <w:sz w:val="24"/>
        </w:rPr>
        <w:t>高风险稽查点与应对策略及</w:t>
      </w:r>
      <w:r>
        <w:rPr>
          <w:rFonts w:ascii="宋体" w:hAnsi="宋体" w:cs="宋体"/>
          <w:bCs/>
          <w:sz w:val="24"/>
        </w:rPr>
        <w:t>实务案例</w:t>
      </w:r>
      <w:r>
        <w:rPr>
          <w:rFonts w:hint="eastAsia" w:ascii="宋体" w:hAnsi="宋体" w:cs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3</w:t>
      </w:r>
      <w:r>
        <w:rPr>
          <w:rFonts w:hint="eastAsia" w:ascii="宋体" w:hAnsi="宋体" w:cs="宋体"/>
          <w:bCs/>
          <w:sz w:val="24"/>
        </w:rPr>
        <w:t>、城建税、资源税、耕地占用税等其它小税种的稽查风险点与应对策略及实务案例。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第七模块：大数据征管下税务稽查的企业应对技巧与案例</w:t>
      </w:r>
      <w:r>
        <w:rPr>
          <w:rFonts w:ascii="宋体" w:hAnsi="宋体" w:cs="宋体"/>
          <w:b/>
          <w:kern w:val="0"/>
          <w:sz w:val="24"/>
        </w:rPr>
        <w:t>解析</w:t>
      </w:r>
    </w:p>
    <w:p>
      <w:pPr>
        <w:spacing w:line="440" w:lineRule="exact"/>
        <w:ind w:firstLine="482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四、专家阵容</w:t>
      </w:r>
    </w:p>
    <w:p>
      <w:pPr>
        <w:widowControl/>
        <w:spacing w:line="440" w:lineRule="exact"/>
        <w:ind w:left="120" w:leftChars="57" w:firstLine="360" w:firstLineChars="15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所有课程由厦门国家会计学院精心组织的专门师资团队授课，授课老师皆具有深厚理论功底及丰富实践经验。师资包括厦门国家会计学院教授、实务界资深专家、政策制定者等。</w:t>
      </w:r>
    </w:p>
    <w:p>
      <w:pPr>
        <w:widowControl/>
        <w:numPr>
          <w:ilvl w:val="0"/>
          <w:numId w:val="0"/>
        </w:numPr>
        <w:spacing w:line="480" w:lineRule="exact"/>
        <w:ind w:left="502" w:leftChars="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五、</w:t>
      </w:r>
      <w:r>
        <w:rPr>
          <w:rFonts w:hint="eastAsia" w:ascii="宋体" w:hAnsi="宋体" w:cs="宋体"/>
          <w:b/>
          <w:kern w:val="0"/>
          <w:sz w:val="24"/>
        </w:rPr>
        <w:t xml:space="preserve">培训班时间、地点    </w:t>
      </w:r>
    </w:p>
    <w:p>
      <w:pPr>
        <w:shd w:val="clear" w:color="auto" w:fill="FFFFFF"/>
        <w:spacing w:line="480" w:lineRule="exact"/>
        <w:ind w:firstLine="470" w:firstLineChars="196"/>
        <w:rPr>
          <w:rFonts w:ascii="宋体" w:hAnsi="宋体" w:cs="宋体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2021年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sz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sz w:val="24"/>
        </w:rPr>
        <w:t>日-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26</w:t>
      </w:r>
      <w:r>
        <w:rPr>
          <w:rFonts w:hint="eastAsia" w:cs="宋体" w:asciiTheme="minorEastAsia" w:hAnsiTheme="minorEastAsia" w:eastAsiaTheme="minorEastAsia"/>
          <w:sz w:val="24"/>
        </w:rPr>
        <w:t>日（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sz w:val="24"/>
        </w:rPr>
        <w:t>日报到，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26</w:t>
      </w:r>
      <w:r>
        <w:rPr>
          <w:rFonts w:hint="eastAsia" w:cs="宋体" w:asciiTheme="minorEastAsia" w:hAnsiTheme="minorEastAsia" w:eastAsiaTheme="minorEastAsia"/>
          <w:sz w:val="24"/>
        </w:rPr>
        <w:t xml:space="preserve">日返程）  </w:t>
      </w:r>
      <w:r>
        <w:rPr>
          <w:rFonts w:hint="eastAsia" w:cs="宋体" w:asciiTheme="minorEastAsia" w:hAnsiTheme="minorEastAsia" w:eastAsiaTheme="minorEastAsia"/>
          <w:sz w:val="24"/>
          <w:lang w:eastAsia="zh-CN"/>
        </w:rPr>
        <w:t>厦门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市</w:t>
      </w:r>
      <w:r>
        <w:rPr>
          <w:rFonts w:hint="eastAsia" w:ascii="宋体" w:hAnsi="宋体" w:cs="宋体"/>
          <w:b/>
          <w:kern w:val="0"/>
          <w:sz w:val="24"/>
        </w:rPr>
        <w:t xml:space="preserve">                                                                             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六、收费标准及缴费方式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46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 xml:space="preserve">1、培训费：每人收费4900元（含培训费、场地费、结业证书等费用）；     </w:t>
      </w:r>
    </w:p>
    <w:p>
      <w:pPr>
        <w:widowControl/>
        <w:spacing w:line="46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2、厦门班级食宿费用标准：院内食宿标准每人每天380元（含独立学员公寓、三餐及康体设施使用）；学院住宿资源紧张的情况下，住宿将安排在院外酒店，食宿费用标准以开课通知为准；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3、异地班级食宿费用标准：统一安排，费用自理（其中培训费由厦门国家会计学院出具发票，食宿费由培训所在地酒店出具发票；</w:t>
      </w:r>
    </w:p>
    <w:p>
      <w:pPr>
        <w:widowControl/>
        <w:spacing w:line="46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 xml:space="preserve">4、培训费、食宿费报到时现场交纳（不接受汇款，可刷卡）,培训班结束后由厦门国家会计学院向学员开具培训费及食宿费发票。   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七、结业证书                                                         </w:t>
      </w:r>
    </w:p>
    <w:p>
      <w:pPr>
        <w:shd w:val="clear" w:color="auto" w:fill="FFFFFF"/>
        <w:spacing w:line="4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培训班结束后由厦门国家会计学院颁发结业证书。</w:t>
      </w:r>
    </w:p>
    <w:p>
      <w:pPr>
        <w:shd w:val="clear" w:color="auto" w:fill="FFFFFF"/>
        <w:spacing w:line="500" w:lineRule="exact"/>
        <w:ind w:firstLine="482" w:firstLineChars="200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八、报名咨询</w:t>
      </w:r>
    </w:p>
    <w:p>
      <w:pPr>
        <w:shd w:val="clear" w:color="auto" w:fill="FFFFFF"/>
        <w:spacing w:line="500" w:lineRule="exact"/>
        <w:ind w:firstLine="480" w:firstLineChars="200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 xml:space="preserve">李老师  </w:t>
      </w:r>
      <w:r>
        <w:rPr>
          <w:rFonts w:hint="eastAsia" w:cs="宋体" w:asciiTheme="minorEastAsia" w:hAnsiTheme="minorEastAsia"/>
          <w:sz w:val="24"/>
        </w:rPr>
        <w:t>0592-2578197 18965847980(微信同步)</w:t>
      </w:r>
    </w:p>
    <w:p>
      <w:pPr>
        <w:shd w:val="clear" w:color="auto" w:fill="FFFFFF"/>
        <w:spacing w:line="50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于老师  13910280750（微信同步）</w:t>
      </w:r>
    </w:p>
    <w:p>
      <w:pPr>
        <w:shd w:val="clear" w:color="auto" w:fill="FFFFFF"/>
        <w:spacing w:line="480" w:lineRule="exact"/>
        <w:ind w:firstLine="480" w:firstLineChars="200"/>
        <w:rPr>
          <w:rFonts w:cs="宋体" w:asciiTheme="minorEastAsia" w:hAnsiTheme="minorEastAsia"/>
          <w:sz w:val="24"/>
          <w:szCs w:val="24"/>
        </w:rPr>
      </w:pPr>
    </w:p>
    <w:p>
      <w:pPr>
        <w:shd w:val="clear" w:color="auto" w:fill="FFFFFF"/>
        <w:spacing w:line="460" w:lineRule="exact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48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</w:t>
      </w: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                                          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厦门国家会计学院</w:t>
      </w:r>
    </w:p>
    <w:p>
      <w:pPr>
        <w:spacing w:line="480" w:lineRule="exact"/>
        <w:ind w:firstLine="6465" w:firstLineChars="23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月</w:t>
      </w:r>
    </w:p>
    <w:p>
      <w:pPr>
        <w:widowControl/>
        <w:spacing w:line="580" w:lineRule="exact"/>
        <w:ind w:firstLine="301" w:firstLineChars="100"/>
        <w:rPr>
          <w:rFonts w:hint="eastAsia"/>
          <w:b/>
          <w:sz w:val="30"/>
          <w:szCs w:val="30"/>
        </w:rPr>
      </w:pPr>
    </w:p>
    <w:p>
      <w:pPr>
        <w:widowControl/>
        <w:spacing w:line="58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数字征管下的税务稽查案例分析与风险规避高级培训班报名回</w:t>
      </w:r>
      <w:r>
        <w:rPr>
          <w:rFonts w:hint="eastAsia" w:ascii="宋体" w:hAnsi="宋体" w:cs="宋体"/>
          <w:b/>
          <w:kern w:val="0"/>
          <w:sz w:val="28"/>
          <w:szCs w:val="28"/>
        </w:rPr>
        <w:t>执表</w:t>
      </w:r>
    </w:p>
    <w:tbl>
      <w:tblPr>
        <w:tblStyle w:val="8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8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参加期数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报名程序：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"mailto:请将报名回执表填写完整后发送至85463535@qq.com"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请将报名回执表填写完整后发送至85463535@qq.com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李老师  电话：</w:t>
            </w:r>
            <w:r>
              <w:rPr>
                <w:rFonts w:hint="eastAsia" w:cs="宋体" w:asciiTheme="minorEastAsia" w:hAnsiTheme="minorEastAsia"/>
                <w:sz w:val="24"/>
              </w:rPr>
              <w:t>0592-2578197 18965847980(微信同步)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于老师  手机：13910280750（微信同步）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备注：学院谢绝学员携带家属和小孩，谢谢！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</w:tc>
      </w:tr>
    </w:tbl>
    <w:p>
      <w:pPr>
        <w:shd w:val="clear" w:color="auto" w:fill="FFFFFF"/>
        <w:spacing w:line="460" w:lineRule="exact"/>
        <w:rPr>
          <w:rFonts w:cs="宋体" w:asciiTheme="minorEastAsia" w:hAnsiTheme="minorEastAsia" w:eastAsiaTheme="minor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66DA5"/>
    <w:multiLevelType w:val="multilevel"/>
    <w:tmpl w:val="50366DA5"/>
    <w:lvl w:ilvl="0" w:tentative="0">
      <w:start w:val="3"/>
      <w:numFmt w:val="japaneseCounting"/>
      <w:lvlText w:val="%1、"/>
      <w:lvlJc w:val="left"/>
      <w:pPr>
        <w:ind w:left="1222" w:hanging="7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1342" w:hanging="420"/>
      </w:pPr>
    </w:lvl>
    <w:lvl w:ilvl="2" w:tentative="0">
      <w:start w:val="1"/>
      <w:numFmt w:val="lowerRoman"/>
      <w:lvlText w:val="%3."/>
      <w:lvlJc w:val="right"/>
      <w:pPr>
        <w:ind w:left="1762" w:hanging="420"/>
      </w:pPr>
    </w:lvl>
    <w:lvl w:ilvl="3" w:tentative="0">
      <w:start w:val="1"/>
      <w:numFmt w:val="decimal"/>
      <w:lvlText w:val="%4."/>
      <w:lvlJc w:val="left"/>
      <w:pPr>
        <w:ind w:left="2182" w:hanging="420"/>
      </w:pPr>
    </w:lvl>
    <w:lvl w:ilvl="4" w:tentative="0">
      <w:start w:val="1"/>
      <w:numFmt w:val="lowerLetter"/>
      <w:lvlText w:val="%5)"/>
      <w:lvlJc w:val="left"/>
      <w:pPr>
        <w:ind w:left="2602" w:hanging="420"/>
      </w:pPr>
    </w:lvl>
    <w:lvl w:ilvl="5" w:tentative="0">
      <w:start w:val="1"/>
      <w:numFmt w:val="lowerRoman"/>
      <w:lvlText w:val="%6."/>
      <w:lvlJc w:val="right"/>
      <w:pPr>
        <w:ind w:left="3022" w:hanging="420"/>
      </w:pPr>
    </w:lvl>
    <w:lvl w:ilvl="6" w:tentative="0">
      <w:start w:val="1"/>
      <w:numFmt w:val="decimal"/>
      <w:lvlText w:val="%7."/>
      <w:lvlJc w:val="left"/>
      <w:pPr>
        <w:ind w:left="3442" w:hanging="420"/>
      </w:pPr>
    </w:lvl>
    <w:lvl w:ilvl="7" w:tentative="0">
      <w:start w:val="1"/>
      <w:numFmt w:val="lowerLetter"/>
      <w:lvlText w:val="%8)"/>
      <w:lvlJc w:val="left"/>
      <w:pPr>
        <w:ind w:left="3862" w:hanging="420"/>
      </w:pPr>
    </w:lvl>
    <w:lvl w:ilvl="8" w:tentative="0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D2F"/>
    <w:rsid w:val="000061E8"/>
    <w:rsid w:val="00013083"/>
    <w:rsid w:val="00024833"/>
    <w:rsid w:val="000314E7"/>
    <w:rsid w:val="00032E49"/>
    <w:rsid w:val="00041A33"/>
    <w:rsid w:val="0004730A"/>
    <w:rsid w:val="00051983"/>
    <w:rsid w:val="00051F31"/>
    <w:rsid w:val="000666CA"/>
    <w:rsid w:val="0007043C"/>
    <w:rsid w:val="000769F7"/>
    <w:rsid w:val="00081906"/>
    <w:rsid w:val="0008191D"/>
    <w:rsid w:val="00094CD1"/>
    <w:rsid w:val="00097F4B"/>
    <w:rsid w:val="000B0C40"/>
    <w:rsid w:val="000C016B"/>
    <w:rsid w:val="000C5079"/>
    <w:rsid w:val="000C6A7C"/>
    <w:rsid w:val="001025B1"/>
    <w:rsid w:val="0011777A"/>
    <w:rsid w:val="00120FA2"/>
    <w:rsid w:val="00135E93"/>
    <w:rsid w:val="001377B9"/>
    <w:rsid w:val="00143D9E"/>
    <w:rsid w:val="001669EE"/>
    <w:rsid w:val="00187A42"/>
    <w:rsid w:val="00190041"/>
    <w:rsid w:val="001A07B9"/>
    <w:rsid w:val="001A0917"/>
    <w:rsid w:val="001D03A2"/>
    <w:rsid w:val="001D3266"/>
    <w:rsid w:val="001D79C4"/>
    <w:rsid w:val="001E7DAF"/>
    <w:rsid w:val="001F4F1D"/>
    <w:rsid w:val="00201382"/>
    <w:rsid w:val="00205459"/>
    <w:rsid w:val="002227EA"/>
    <w:rsid w:val="002320D2"/>
    <w:rsid w:val="00242B73"/>
    <w:rsid w:val="00243CCF"/>
    <w:rsid w:val="00246611"/>
    <w:rsid w:val="0027049A"/>
    <w:rsid w:val="00270FC8"/>
    <w:rsid w:val="0027539E"/>
    <w:rsid w:val="0028144B"/>
    <w:rsid w:val="00297571"/>
    <w:rsid w:val="002B33D3"/>
    <w:rsid w:val="002B5533"/>
    <w:rsid w:val="002B68C5"/>
    <w:rsid w:val="002C56C3"/>
    <w:rsid w:val="002D195D"/>
    <w:rsid w:val="002D288C"/>
    <w:rsid w:val="003005C5"/>
    <w:rsid w:val="00301188"/>
    <w:rsid w:val="00314B53"/>
    <w:rsid w:val="00314F51"/>
    <w:rsid w:val="003150FA"/>
    <w:rsid w:val="00320D1C"/>
    <w:rsid w:val="0032289A"/>
    <w:rsid w:val="00331126"/>
    <w:rsid w:val="00336E2C"/>
    <w:rsid w:val="00347361"/>
    <w:rsid w:val="003825DC"/>
    <w:rsid w:val="00382F0C"/>
    <w:rsid w:val="003A2B53"/>
    <w:rsid w:val="003A5823"/>
    <w:rsid w:val="003B6ED0"/>
    <w:rsid w:val="003C1946"/>
    <w:rsid w:val="003C3631"/>
    <w:rsid w:val="003C419A"/>
    <w:rsid w:val="00402863"/>
    <w:rsid w:val="00414E61"/>
    <w:rsid w:val="00416FE8"/>
    <w:rsid w:val="004328CF"/>
    <w:rsid w:val="00432F90"/>
    <w:rsid w:val="004336BC"/>
    <w:rsid w:val="004663B0"/>
    <w:rsid w:val="00474078"/>
    <w:rsid w:val="00481D03"/>
    <w:rsid w:val="0048629F"/>
    <w:rsid w:val="004937AC"/>
    <w:rsid w:val="004943A8"/>
    <w:rsid w:val="004A133D"/>
    <w:rsid w:val="004A62C6"/>
    <w:rsid w:val="004B1EFD"/>
    <w:rsid w:val="004D5EB8"/>
    <w:rsid w:val="004E3EA8"/>
    <w:rsid w:val="004F09C9"/>
    <w:rsid w:val="004F7CEC"/>
    <w:rsid w:val="00525F5C"/>
    <w:rsid w:val="00534F35"/>
    <w:rsid w:val="00560C45"/>
    <w:rsid w:val="00577F83"/>
    <w:rsid w:val="00581F85"/>
    <w:rsid w:val="00591C35"/>
    <w:rsid w:val="00592B06"/>
    <w:rsid w:val="00595412"/>
    <w:rsid w:val="005A2C3D"/>
    <w:rsid w:val="005B0E12"/>
    <w:rsid w:val="005C448D"/>
    <w:rsid w:val="005D5A81"/>
    <w:rsid w:val="005E4B7D"/>
    <w:rsid w:val="005E7F3C"/>
    <w:rsid w:val="0060783A"/>
    <w:rsid w:val="006156BC"/>
    <w:rsid w:val="006261A6"/>
    <w:rsid w:val="006330BA"/>
    <w:rsid w:val="006335A6"/>
    <w:rsid w:val="006431F6"/>
    <w:rsid w:val="006440A9"/>
    <w:rsid w:val="00676581"/>
    <w:rsid w:val="00676ACA"/>
    <w:rsid w:val="00692B58"/>
    <w:rsid w:val="006A588D"/>
    <w:rsid w:val="006B1B82"/>
    <w:rsid w:val="006B77E4"/>
    <w:rsid w:val="006C23F2"/>
    <w:rsid w:val="006C3AE9"/>
    <w:rsid w:val="006D00B9"/>
    <w:rsid w:val="006D299D"/>
    <w:rsid w:val="006D64B4"/>
    <w:rsid w:val="006E01FF"/>
    <w:rsid w:val="006E7B2A"/>
    <w:rsid w:val="006F438D"/>
    <w:rsid w:val="00700DF6"/>
    <w:rsid w:val="007016D9"/>
    <w:rsid w:val="00701F4F"/>
    <w:rsid w:val="00714F3A"/>
    <w:rsid w:val="00716FAC"/>
    <w:rsid w:val="00735445"/>
    <w:rsid w:val="0073578B"/>
    <w:rsid w:val="00736091"/>
    <w:rsid w:val="00746771"/>
    <w:rsid w:val="00765FEE"/>
    <w:rsid w:val="007775BC"/>
    <w:rsid w:val="00781CBA"/>
    <w:rsid w:val="007A6650"/>
    <w:rsid w:val="007C0569"/>
    <w:rsid w:val="007C1725"/>
    <w:rsid w:val="007C2CAC"/>
    <w:rsid w:val="0080011F"/>
    <w:rsid w:val="00807F4C"/>
    <w:rsid w:val="00826396"/>
    <w:rsid w:val="0082647E"/>
    <w:rsid w:val="008374F0"/>
    <w:rsid w:val="00843D2F"/>
    <w:rsid w:val="00843E82"/>
    <w:rsid w:val="008547B2"/>
    <w:rsid w:val="00871C0A"/>
    <w:rsid w:val="00877071"/>
    <w:rsid w:val="00883B1A"/>
    <w:rsid w:val="00885952"/>
    <w:rsid w:val="0088720E"/>
    <w:rsid w:val="008A07AD"/>
    <w:rsid w:val="008C147C"/>
    <w:rsid w:val="008E13BE"/>
    <w:rsid w:val="008F088D"/>
    <w:rsid w:val="008F0ECA"/>
    <w:rsid w:val="00905BBE"/>
    <w:rsid w:val="00906358"/>
    <w:rsid w:val="0090720A"/>
    <w:rsid w:val="009234B5"/>
    <w:rsid w:val="00937A7A"/>
    <w:rsid w:val="00943907"/>
    <w:rsid w:val="00952A8B"/>
    <w:rsid w:val="00970093"/>
    <w:rsid w:val="0097311C"/>
    <w:rsid w:val="009A59F9"/>
    <w:rsid w:val="009B7676"/>
    <w:rsid w:val="009C0182"/>
    <w:rsid w:val="009C495D"/>
    <w:rsid w:val="009D018C"/>
    <w:rsid w:val="009F1C50"/>
    <w:rsid w:val="00A030B4"/>
    <w:rsid w:val="00A06FDA"/>
    <w:rsid w:val="00A15388"/>
    <w:rsid w:val="00A168D0"/>
    <w:rsid w:val="00A31A8F"/>
    <w:rsid w:val="00A32005"/>
    <w:rsid w:val="00A32B4E"/>
    <w:rsid w:val="00A33037"/>
    <w:rsid w:val="00A428BF"/>
    <w:rsid w:val="00A4463C"/>
    <w:rsid w:val="00A477FC"/>
    <w:rsid w:val="00A52068"/>
    <w:rsid w:val="00A57BA5"/>
    <w:rsid w:val="00A60074"/>
    <w:rsid w:val="00A645E1"/>
    <w:rsid w:val="00A647AB"/>
    <w:rsid w:val="00A80BE7"/>
    <w:rsid w:val="00A901C0"/>
    <w:rsid w:val="00A913E8"/>
    <w:rsid w:val="00A97885"/>
    <w:rsid w:val="00AA0EAF"/>
    <w:rsid w:val="00AA43D0"/>
    <w:rsid w:val="00AB352D"/>
    <w:rsid w:val="00AC48B2"/>
    <w:rsid w:val="00AC57FB"/>
    <w:rsid w:val="00AC6F5B"/>
    <w:rsid w:val="00AF7824"/>
    <w:rsid w:val="00B0125A"/>
    <w:rsid w:val="00B02A6C"/>
    <w:rsid w:val="00B07AFD"/>
    <w:rsid w:val="00B24561"/>
    <w:rsid w:val="00B276B2"/>
    <w:rsid w:val="00B54C30"/>
    <w:rsid w:val="00B56B59"/>
    <w:rsid w:val="00B61BFD"/>
    <w:rsid w:val="00B719C4"/>
    <w:rsid w:val="00B81581"/>
    <w:rsid w:val="00B87FA8"/>
    <w:rsid w:val="00BA3CEE"/>
    <w:rsid w:val="00BA5DA6"/>
    <w:rsid w:val="00BB39E3"/>
    <w:rsid w:val="00BB3CBE"/>
    <w:rsid w:val="00BB7C3A"/>
    <w:rsid w:val="00BC3854"/>
    <w:rsid w:val="00BD574E"/>
    <w:rsid w:val="00BD7C39"/>
    <w:rsid w:val="00BE5079"/>
    <w:rsid w:val="00BF45C8"/>
    <w:rsid w:val="00C0394A"/>
    <w:rsid w:val="00C04795"/>
    <w:rsid w:val="00C078F8"/>
    <w:rsid w:val="00C109B3"/>
    <w:rsid w:val="00C32352"/>
    <w:rsid w:val="00C54804"/>
    <w:rsid w:val="00C62E6E"/>
    <w:rsid w:val="00C7536E"/>
    <w:rsid w:val="00C92724"/>
    <w:rsid w:val="00CA7C80"/>
    <w:rsid w:val="00CD1B61"/>
    <w:rsid w:val="00CD6C95"/>
    <w:rsid w:val="00CE48A9"/>
    <w:rsid w:val="00D02E5C"/>
    <w:rsid w:val="00D03C22"/>
    <w:rsid w:val="00D20127"/>
    <w:rsid w:val="00D24807"/>
    <w:rsid w:val="00D320D6"/>
    <w:rsid w:val="00D72C50"/>
    <w:rsid w:val="00D739B2"/>
    <w:rsid w:val="00D77A1F"/>
    <w:rsid w:val="00D81A28"/>
    <w:rsid w:val="00D9124E"/>
    <w:rsid w:val="00DC178D"/>
    <w:rsid w:val="00DC319E"/>
    <w:rsid w:val="00DC7E69"/>
    <w:rsid w:val="00DD416F"/>
    <w:rsid w:val="00DD595D"/>
    <w:rsid w:val="00DD6806"/>
    <w:rsid w:val="00DE7BAD"/>
    <w:rsid w:val="00DE7EF3"/>
    <w:rsid w:val="00DF267A"/>
    <w:rsid w:val="00DF36AB"/>
    <w:rsid w:val="00DF59BA"/>
    <w:rsid w:val="00E03B1D"/>
    <w:rsid w:val="00E1140A"/>
    <w:rsid w:val="00E133E3"/>
    <w:rsid w:val="00E27BC0"/>
    <w:rsid w:val="00E32831"/>
    <w:rsid w:val="00E356DF"/>
    <w:rsid w:val="00E40EC2"/>
    <w:rsid w:val="00E70114"/>
    <w:rsid w:val="00EC1007"/>
    <w:rsid w:val="00EC2C5F"/>
    <w:rsid w:val="00EC7D34"/>
    <w:rsid w:val="00EE2525"/>
    <w:rsid w:val="00EE5D3F"/>
    <w:rsid w:val="00EF407F"/>
    <w:rsid w:val="00F1181F"/>
    <w:rsid w:val="00F12F01"/>
    <w:rsid w:val="00F178E8"/>
    <w:rsid w:val="00F2297C"/>
    <w:rsid w:val="00F23AFA"/>
    <w:rsid w:val="00F263CB"/>
    <w:rsid w:val="00F3499B"/>
    <w:rsid w:val="00F406E2"/>
    <w:rsid w:val="00F42BED"/>
    <w:rsid w:val="00F46DA8"/>
    <w:rsid w:val="00F52DF3"/>
    <w:rsid w:val="00F60786"/>
    <w:rsid w:val="00F86062"/>
    <w:rsid w:val="00F93378"/>
    <w:rsid w:val="00F97EA5"/>
    <w:rsid w:val="00FB0D5C"/>
    <w:rsid w:val="00FB4ECE"/>
    <w:rsid w:val="00FB4F61"/>
    <w:rsid w:val="00FB7B9F"/>
    <w:rsid w:val="00FC2C23"/>
    <w:rsid w:val="00FC3507"/>
    <w:rsid w:val="00FD0B8A"/>
    <w:rsid w:val="00FD46C9"/>
    <w:rsid w:val="00FE2B7A"/>
    <w:rsid w:val="128353FD"/>
    <w:rsid w:val="17524F89"/>
    <w:rsid w:val="3E155B79"/>
    <w:rsid w:val="4CF94FC4"/>
    <w:rsid w:val="5C8E7DE2"/>
    <w:rsid w:val="5D5701F8"/>
    <w:rsid w:val="5E1A05FC"/>
    <w:rsid w:val="619569CE"/>
    <w:rsid w:val="796074B6"/>
    <w:rsid w:val="7F02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标题 1 Char"/>
    <w:basedOn w:val="10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7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">
    <w:name w:val="HTML 预设格式 Char"/>
    <w:basedOn w:val="10"/>
    <w:link w:val="6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DA345-F7E3-4C14-ACA0-B10008D1C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459</Words>
  <Characters>2619</Characters>
  <Lines>21</Lines>
  <Paragraphs>6</Paragraphs>
  <TotalTime>0</TotalTime>
  <ScaleCrop>false</ScaleCrop>
  <LinksUpToDate>false</LinksUpToDate>
  <CharactersWithSpaces>3072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2019-11-29T02:26:00Z</dcterms:created>
  <dc:creator>Administrator</dc:creator>
  <cp:lastModifiedBy>小漾</cp:lastModifiedBy>
  <dcterms:modified xsi:type="dcterms:W3CDTF">2021-05-11T08:14:29Z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2052-11.1.0.10495</vt:lpwstr>
  </property>
  <property fmtid="{D5CDD505-2E9C-101B-9397-08002B2CF9AE}" pid="4" name="ICV">
    <vt:lpwstr>0FD162C4732046719762EE48ABF1E6C4</vt:lpwstr>
  </property>
</Properties>
</file>