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cs="宋体"/>
          <w:b w:val="0"/>
          <w:bCs w:val="0"/>
          <w:color w:val="FF0000"/>
          <w:kern w:val="0"/>
          <w:sz w:val="72"/>
          <w:szCs w:val="72"/>
        </w:rPr>
      </w:pPr>
      <w:r>
        <w:rPr>
          <w:rFonts w:hint="eastAsia" w:ascii="宋体" w:hAnsi="宋体" w:cs="宋体"/>
          <w:b w:val="0"/>
          <w:bCs w:val="0"/>
          <w:color w:val="FF0000"/>
          <w:spacing w:val="24"/>
          <w:sz w:val="72"/>
          <w:szCs w:val="72"/>
        </w:rPr>
        <w:t>厦门国家会计学院</w:t>
      </w:r>
    </w:p>
    <w:p>
      <w:pPr>
        <w:widowControl/>
        <w:spacing w:line="680" w:lineRule="exact"/>
        <w:jc w:val="center"/>
        <w:outlineLvl w:val="2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b w:val="0"/>
          <w:bCs w:val="0"/>
          <w:spacing w:val="24"/>
          <w:sz w:val="72"/>
          <w:szCs w:val="7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6985</wp:posOffset>
                </wp:positionV>
                <wp:extent cx="5173345" cy="14605"/>
                <wp:effectExtent l="0" t="12700" r="8255" b="2349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345" cy="1460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5.4pt;margin-top:0.55pt;height:1.15pt;width:407.35pt;z-index:251659264;mso-width-relative:page;mso-height-relative:page;" filled="f" stroked="t" coordsize="21600,21600" o:gfxdata="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TAbL1AAAAAYBAAAPAAAA&#10;AAAAAAEAIAAAACIAAABkcnMvZG93bnJldi54bWxQSwECFAAUAAAACACHTuJAzhj0XeABAADfAwAA&#10;DgAAAAAAAAABACAAAAAj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kern w:val="0"/>
          <w:sz w:val="30"/>
          <w:szCs w:val="30"/>
        </w:rPr>
        <w:t>关于举办“新形势下企业财务骨干素质提升</w:t>
      </w:r>
    </w:p>
    <w:p>
      <w:pPr>
        <w:widowControl/>
        <w:spacing w:line="680" w:lineRule="exact"/>
        <w:jc w:val="center"/>
        <w:outlineLvl w:val="2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高级培训班”的通知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1"/>
          <w:lang w:val="en-US" w:eastAsia="zh-CN" w:bidi="ar-SA"/>
        </w:rPr>
      </w:pPr>
      <w:r>
        <w:rPr>
          <w:rStyle w:val="15"/>
          <w:rFonts w:hint="eastAsia" w:ascii="宋体" w:hAnsi="宋体" w:eastAsia="宋体" w:cs="微软雅黑"/>
          <w:b/>
          <w:bCs/>
          <w:kern w:val="0"/>
          <w:sz w:val="24"/>
          <w:szCs w:val="20"/>
          <w:shd w:val="clear" w:color="auto" w:fill="FFFFFF"/>
          <w:lang w:val="en-US" w:eastAsia="zh-CN" w:bidi="ar-SA"/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  <w:t>新一轮的科技革命和产业变革正在如火如荼地进行，全球经济正处于一个前所未有的转折点。如何在日益激烈的竞争中提升企业的经营管理能力，以确保企业能够保持持续的发展动力、活力和综合实力，已成为当代企业管理者亟待解决的重大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  <w:t>企业自身的财务管理能力对于其财务正常运转起着至关重要的作用。优秀的财务管理能力有助于为企业规划更科学的发展路径。在从高速发展向高质量发展的转变过程中，企业需要高素质的财务骨干人员的支持，以促进其健康、稳定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</w:pPr>
      <w:r>
        <w:rPr>
          <w:rFonts w:hint="eastAsia" w:cs="Times New Roman"/>
          <w:b w:val="0"/>
          <w:bCs w:val="0"/>
          <w:kern w:val="44"/>
          <w:sz w:val="24"/>
          <w:szCs w:val="44"/>
          <w:lang w:val="en-US" w:eastAsia="zh-CN" w:bidi="ar-SA"/>
        </w:rPr>
        <w:t>本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  <w:t>课程</w:t>
      </w:r>
      <w:r>
        <w:rPr>
          <w:rFonts w:hint="eastAsia" w:cs="Times New Roman"/>
          <w:b w:val="0"/>
          <w:bCs w:val="0"/>
          <w:kern w:val="44"/>
          <w:sz w:val="24"/>
          <w:szCs w:val="44"/>
          <w:lang w:val="en-US" w:eastAsia="zh-CN" w:bidi="ar-SA"/>
        </w:rPr>
        <w:t>将帮助财务人员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  <w:t>更好地了解</w:t>
      </w:r>
      <w:r>
        <w:rPr>
          <w:rFonts w:hint="eastAsia" w:cs="Times New Roman"/>
          <w:b w:val="0"/>
          <w:bCs w:val="0"/>
          <w:kern w:val="44"/>
          <w:sz w:val="24"/>
          <w:szCs w:val="44"/>
          <w:lang w:val="en-US" w:eastAsia="zh-CN" w:bidi="ar-SA"/>
        </w:rPr>
        <w:t>业财融合运作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  <w:t>模式，掌握先进的财务管理理念和方法，并能够为企业的发展提供更加准确的财务分析和决策支持。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Cs w:val="20"/>
          <w:lang w:val="en-US" w:eastAsia="zh-CN" w:bidi="ar-SA"/>
        </w:rPr>
        <w:t>一、培训收益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sz w:val="24"/>
          <w:szCs w:val="22"/>
        </w:rPr>
      </w:pPr>
      <w:r>
        <w:rPr>
          <w:rFonts w:hint="eastAsia"/>
          <w:sz w:val="24"/>
          <w:szCs w:val="22"/>
        </w:rPr>
        <w:t>【拥抱数字变革</w:t>
      </w:r>
      <w:r>
        <w:rPr>
          <w:rFonts w:hint="eastAsia" w:ascii="宋体" w:hAnsi="宋体" w:eastAsia="宋体" w:cs="宋体"/>
          <w:kern w:val="0"/>
          <w:sz w:val="24"/>
          <w:szCs w:val="32"/>
        </w:rPr>
        <w:t>】</w:t>
      </w:r>
      <w:r>
        <w:rPr>
          <w:rFonts w:hint="eastAsia"/>
          <w:sz w:val="24"/>
          <w:szCs w:val="22"/>
        </w:rPr>
        <w:t>了解数字经济时代的发展趋势与商业模式变革；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32"/>
        </w:rPr>
      </w:pPr>
      <w:r>
        <w:rPr>
          <w:rFonts w:hint="eastAsia"/>
          <w:sz w:val="24"/>
          <w:szCs w:val="22"/>
        </w:rPr>
        <w:t>【洞察经营本质</w:t>
      </w:r>
      <w:r>
        <w:rPr>
          <w:rFonts w:hint="eastAsia" w:ascii="宋体" w:hAnsi="宋体" w:eastAsia="宋体" w:cs="宋体"/>
          <w:kern w:val="0"/>
          <w:sz w:val="24"/>
          <w:szCs w:val="32"/>
        </w:rPr>
        <w:t>】掌握财务分析逻辑，洞察企业经营本质与价值根源；</w:t>
      </w:r>
    </w:p>
    <w:p>
      <w:pPr>
        <w:pageBreakBefore w:val="0"/>
        <w:tabs>
          <w:tab w:val="left" w:pos="306"/>
        </w:tabs>
        <w:kinsoku/>
        <w:wordWrap/>
        <w:overflowPunct/>
        <w:topLinePunct w:val="0"/>
        <w:autoSpaceDE w:val="0"/>
        <w:autoSpaceDN w:val="0"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32"/>
        </w:rPr>
        <w:t>【提升专业能力】</w:t>
      </w:r>
      <w:r>
        <w:rPr>
          <w:rFonts w:ascii="宋体" w:hAnsi="宋体" w:eastAsia="宋体" w:cs="宋体"/>
          <w:kern w:val="0"/>
          <w:sz w:val="24"/>
          <w:szCs w:val="32"/>
        </w:rPr>
        <w:t>探讨</w:t>
      </w:r>
      <w:r>
        <w:rPr>
          <w:rFonts w:hint="eastAsia" w:ascii="宋体" w:hAnsi="宋体" w:eastAsia="宋体" w:cs="宋体"/>
          <w:kern w:val="0"/>
          <w:sz w:val="24"/>
          <w:szCs w:val="32"/>
        </w:rPr>
        <w:t>融资渠道拓宽思路、挖掘资金潜能，赋能企业价值创造</w:t>
      </w:r>
      <w:r>
        <w:rPr>
          <w:rFonts w:hint="eastAsia" w:ascii="宋体" w:hAnsi="宋体" w:eastAsia="宋体" w:cs="宋体"/>
          <w:kern w:val="0"/>
          <w:sz w:val="24"/>
          <w:szCs w:val="32"/>
          <w:lang w:eastAsia="zh-CN"/>
        </w:rPr>
        <w:t>；</w:t>
      </w:r>
      <w:r>
        <w:rPr>
          <w:rFonts w:hint="eastAsia" w:ascii="宋体" w:hAnsi="宋体" w:cs="宋体"/>
          <w:bCs/>
          <w:spacing w:val="-6"/>
          <w:kern w:val="0"/>
          <w:sz w:val="24"/>
        </w:rPr>
        <w:t>收获业财融合与预算管理框架体系，掌控业财贯通实现方式；</w:t>
      </w:r>
      <w:r>
        <w:rPr>
          <w:rFonts w:ascii="宋体" w:hAnsi="宋体" w:eastAsia="宋体" w:cs="宋体"/>
          <w:sz w:val="24"/>
          <w:szCs w:val="24"/>
        </w:rPr>
        <w:t>掌握落实内控的方法，提高业务运行效率，达到降本增效目标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482" w:firstLineChars="200"/>
        <w:textAlignment w:val="auto"/>
        <w:rPr>
          <w:rFonts w:ascii="宋体" w:hAnsi="宋体" w:eastAsia="宋体" w:cs="宋体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0"/>
          <w:lang w:val="en-US" w:eastAsia="zh-CN" w:bidi="ar-SA"/>
        </w:rPr>
        <w:t>二、培训对象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企业（含二级单位）总会计师、财务负责人、分管财务领导、财务骨干等</w:t>
      </w:r>
      <w:r>
        <w:rPr>
          <w:rFonts w:hint="eastAsia" w:ascii="宋体" w:hAnsi="宋体" w:cs="宋体"/>
          <w:bCs/>
          <w:kern w:val="0"/>
          <w:sz w:val="24"/>
          <w:szCs w:val="24"/>
        </w:rPr>
        <w:t>；高校从事财务</w:t>
      </w:r>
      <w:r>
        <w:rPr>
          <w:rFonts w:ascii="宋体" w:hAnsi="宋体" w:cs="宋体"/>
          <w:bCs/>
          <w:kern w:val="0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4"/>
        </w:rPr>
        <w:t>税务理论研究与实务教学的教师等。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0"/>
          <w:lang w:val="en-US" w:eastAsia="zh-CN" w:bidi="ar-SA"/>
        </w:rPr>
        <w:t>三、培训内容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第一模块：企业财务数智体系建设实践与创新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1、企业财务数智化转型的时代背景与政策解读；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2、构建前瞻智能的财务数智体系整体规划；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default" w:ascii="宋体" w:hAnsi="宋体" w:cs="宋体"/>
          <w:sz w:val="24"/>
        </w:rPr>
        <w:t>财务数智</w:t>
      </w:r>
      <w:r>
        <w:rPr>
          <w:rFonts w:hint="eastAsia" w:ascii="宋体" w:hAnsi="宋体" w:cs="宋体"/>
          <w:sz w:val="24"/>
          <w:lang w:val="en-US" w:eastAsia="zh-CN"/>
        </w:rPr>
        <w:t>体系建设</w:t>
      </w:r>
      <w:r>
        <w:rPr>
          <w:rFonts w:hint="default" w:ascii="宋体" w:hAnsi="宋体" w:cs="宋体"/>
          <w:sz w:val="24"/>
        </w:rPr>
        <w:t>要点</w:t>
      </w:r>
      <w:r>
        <w:rPr>
          <w:rFonts w:hint="eastAsia" w:ascii="宋体" w:hAnsi="宋体" w:cs="宋体"/>
          <w:sz w:val="24"/>
          <w:lang w:val="en-US" w:eastAsia="zh-CN"/>
        </w:rPr>
        <w:t>与创新思维；</w:t>
      </w:r>
    </w:p>
    <w:p>
      <w:pPr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4、财务数智化模式下的财务共享升级；</w:t>
      </w:r>
    </w:p>
    <w:p>
      <w:pPr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5、财务数智化模式下的共享流程再造；</w:t>
      </w:r>
    </w:p>
    <w:p>
      <w:pPr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6、数智化财经平台设计；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7、财务数智体系建设典型案例解读。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第二模块：管理会计新发展：业财融合实务与案例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1、</w:t>
      </w:r>
      <w:r>
        <w:rPr>
          <w:rFonts w:hint="eastAsia" w:ascii="宋体" w:hAnsi="宋体" w:cs="宋体"/>
          <w:b w:val="0"/>
          <w:bCs w:val="0"/>
          <w:sz w:val="24"/>
        </w:rPr>
        <w:t>财务角色新定位与业财融合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2、从价值发现到</w:t>
      </w:r>
      <w:r>
        <w:rPr>
          <w:rFonts w:hint="eastAsia" w:ascii="宋体" w:hAnsi="宋体" w:cs="宋体"/>
          <w:sz w:val="24"/>
        </w:rPr>
        <w:t>价值创造：业财协同共同价值；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、业财融合：</w:t>
      </w:r>
      <w:r>
        <w:rPr>
          <w:rFonts w:hint="eastAsia" w:ascii="宋体" w:hAnsi="宋体" w:cs="宋体"/>
          <w:sz w:val="24"/>
          <w:lang w:val="en-US" w:eastAsia="zh-CN"/>
        </w:rPr>
        <w:t>核心要素与</w:t>
      </w:r>
      <w:r>
        <w:rPr>
          <w:rFonts w:hint="eastAsia" w:ascii="宋体" w:hAnsi="宋体" w:cs="宋体"/>
          <w:sz w:val="24"/>
        </w:rPr>
        <w:t>关键挑战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4、</w:t>
      </w:r>
      <w:r>
        <w:rPr>
          <w:rFonts w:hint="eastAsia" w:ascii="宋体" w:hAnsi="宋体" w:cs="宋体"/>
          <w:b w:val="0"/>
          <w:bCs w:val="0"/>
          <w:sz w:val="24"/>
        </w:rPr>
        <w:t>构建全方位立体式业财融合实现框架体系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5、构建战略-预算-绩效的管理闭环；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6、构建一体化的财经分析；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7、典型案例分享：从小会计到大财经的转型。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40"/>
        <w:textAlignment w:val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第三模块：企业财务分析与价值创造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公司财报分析框架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2、企业价值创造逻辑与报表关系；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从现金流量表看公司的战略和未来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盈利能力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与盈利质量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资产规模与资产质量分析；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成长成力与成长质量分析；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7、价值创造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的综合分析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第四模块：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现金流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管理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与司库建设实务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lang w:val="en-US" w:eastAsia="zh-CN"/>
        </w:rPr>
        <w:t>1、</w:t>
      </w:r>
      <w:r>
        <w:rPr>
          <w:rFonts w:ascii="宋体" w:hAnsi="宋体" w:eastAsia="宋体"/>
          <w:b w:val="0"/>
          <w:bCs w:val="0"/>
          <w:sz w:val="24"/>
        </w:rPr>
        <w:t>现金流管理的整体规划</w:t>
      </w:r>
      <w:r>
        <w:rPr>
          <w:rFonts w:hint="eastAsia" w:ascii="宋体" w:hAnsi="宋体" w:eastAsia="宋体"/>
          <w:b w:val="0"/>
          <w:bCs w:val="0"/>
          <w:sz w:val="24"/>
          <w:lang w:val="en-US" w:eastAsia="zh-CN"/>
        </w:rPr>
        <w:t>与前瞻</w:t>
      </w:r>
      <w:r>
        <w:rPr>
          <w:rFonts w:ascii="宋体" w:hAnsi="宋体" w:eastAsia="宋体"/>
          <w:b w:val="0"/>
          <w:bCs w:val="0"/>
          <w:sz w:val="24"/>
        </w:rPr>
        <w:t>设计</w:t>
      </w:r>
      <w:r>
        <w:rPr>
          <w:rFonts w:hint="eastAsia" w:ascii="宋体" w:hAnsi="宋体"/>
          <w:b w:val="0"/>
          <w:bCs w:val="0"/>
          <w:sz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default" w:ascii="宋体" w:hAnsi="宋体" w:eastAsia="宋体"/>
          <w:sz w:val="24"/>
        </w:rPr>
        <w:t>现金流管理与战略发展的协同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default" w:ascii="宋体" w:hAnsi="宋体" w:eastAsia="宋体"/>
          <w:sz w:val="24"/>
        </w:rPr>
        <w:t>现金流预测与</w:t>
      </w:r>
      <w:r>
        <w:rPr>
          <w:rFonts w:hint="eastAsia" w:ascii="宋体" w:hAnsi="宋体" w:eastAsia="宋体"/>
          <w:sz w:val="24"/>
          <w:lang w:val="en-US" w:eastAsia="zh-CN"/>
        </w:rPr>
        <w:t>资金</w:t>
      </w:r>
      <w:r>
        <w:rPr>
          <w:rFonts w:hint="default" w:ascii="宋体" w:hAnsi="宋体" w:eastAsia="宋体"/>
          <w:sz w:val="24"/>
        </w:rPr>
        <w:t>缺口管理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default" w:ascii="宋体" w:hAnsi="宋体" w:eastAsia="宋体"/>
          <w:sz w:val="24"/>
        </w:rPr>
        <w:t>现金流</w:t>
      </w:r>
      <w:r>
        <w:rPr>
          <w:rFonts w:hint="eastAsia" w:ascii="宋体" w:hAnsi="宋体" w:eastAsia="宋体"/>
          <w:sz w:val="24"/>
          <w:lang w:val="en-US" w:eastAsia="zh-CN"/>
        </w:rPr>
        <w:t>分析与</w:t>
      </w:r>
      <w:r>
        <w:rPr>
          <w:rFonts w:hint="default" w:ascii="宋体" w:hAnsi="宋体" w:eastAsia="宋体"/>
          <w:sz w:val="24"/>
        </w:rPr>
        <w:t>风险预警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lang w:val="en-US" w:eastAsia="zh-CN"/>
        </w:rPr>
        <w:t>5、</w:t>
      </w:r>
      <w:r>
        <w:rPr>
          <w:rFonts w:hint="default" w:ascii="宋体" w:hAnsi="宋体" w:eastAsia="宋体"/>
          <w:b w:val="0"/>
          <w:bCs w:val="0"/>
          <w:sz w:val="24"/>
        </w:rPr>
        <w:t>司库模式下的资金集中管理与财务资源配置</w:t>
      </w:r>
      <w:r>
        <w:rPr>
          <w:rFonts w:hint="eastAsia" w:ascii="宋体" w:hAnsi="宋体"/>
          <w:b w:val="0"/>
          <w:bCs w:val="0"/>
          <w:sz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default" w:ascii="宋体" w:hAnsi="宋体" w:eastAsia="宋体"/>
          <w:sz w:val="24"/>
        </w:rPr>
        <w:t>司库模式下的资金集中与财务信息化体系的协调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7、典型案例分析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第五模块：内控风控以及合规法律一体化建设与运行实务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1、内控、风险管理、合规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法律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监管政策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概览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2、COSO内控与风险管理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理论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框架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的演变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、内控指引解读及内控体系建设关键要素；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、内控向风险管控延伸与融合的路径与实践</w:t>
      </w:r>
      <w:r>
        <w:rPr>
          <w:rFonts w:hint="eastAsia" w:ascii="宋体" w:hAnsi="宋体" w:cs="Times New Roman"/>
          <w:b w:val="0"/>
          <w:bCs w:val="0"/>
          <w:sz w:val="24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 w:val="0"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、法律风险及合规体系建设实践</w:t>
      </w:r>
      <w:r>
        <w:rPr>
          <w:rFonts w:hint="eastAsia" w:ascii="宋体" w:hAnsi="宋体" w:cs="Times New Roman"/>
          <w:b w:val="0"/>
          <w:bCs w:val="0"/>
          <w:sz w:val="24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cs="宋体"/>
          <w:b/>
          <w:bCs/>
          <w:kern w:val="0"/>
          <w:sz w:val="28"/>
          <w:szCs w:val="21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、典型案例分析。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spacing w:line="50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第六模块：综合素质提升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1、财务人员素养修炼；</w:t>
      </w:r>
    </w:p>
    <w:p>
      <w:pPr>
        <w:spacing w:line="5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2、语言艺术及领导力塑造；</w:t>
      </w:r>
    </w:p>
    <w:p>
      <w:pPr>
        <w:spacing w:line="5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3、沟通与执行力提升；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szCs w:val="20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4、高效财务团队建设实践。</w:t>
      </w:r>
      <w:r>
        <w:rPr>
          <w:rFonts w:hint="eastAsia"/>
        </w:rPr>
        <w:t xml:space="preserve">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jc w:val="left"/>
        <w:textAlignment w:val="auto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0"/>
        </w:rPr>
        <w:t>四、师资安排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1、所有课程由厦门国家会计学院精心组织的专门师资团队授课，授课老师皆具有深厚理论功底及丰富实践经验。师资包括厦门国家会计学院教授、实务界资深专家、政策制定者等；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2、学院可能调整个别授课老师及课程内容，课程以最终课表为准。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kern w:val="0"/>
          <w:sz w:val="28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0"/>
        </w:rPr>
        <w:t>五、培训班时间、地点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516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期数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培训班时间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2024年2月25日-3月2日（25日报到，2日返程）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2024年3月17日-23日（17日报到，23日返程）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厦门国家会计学院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2024年4月14日-20日（14日报到，20日返程）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第四期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2024年5月12日-18日（12日报到，18日返程）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第五期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2024年6月16日-22日（16日报到，22日返程）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厦门国家会计学院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第六期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2024年7月14日-20日（14日报到，20日返程）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第七期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2024年8月11日-17日（11日报到，17日返程）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第八期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2024年9月08日-14日（08日报到，14日返程）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厦门国家会计学院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第九期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2024年10月20日-26日（20日报到，26日返程）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第十期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2024年11月17日-23日（17日报到，23日返程）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vAlign w:val="center"/>
          </w:tcPr>
          <w:p>
            <w:pPr>
              <w:spacing w:line="500" w:lineRule="exac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第十一期</w:t>
            </w:r>
          </w:p>
        </w:tc>
        <w:tc>
          <w:tcPr>
            <w:tcW w:w="516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2024年12月15日-21日（15日报到，21日返程）</w:t>
            </w:r>
          </w:p>
        </w:tc>
        <w:tc>
          <w:tcPr>
            <w:tcW w:w="19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厦门国家会计学院</w:t>
            </w:r>
          </w:p>
        </w:tc>
      </w:tr>
    </w:tbl>
    <w:p>
      <w:pPr>
        <w:widowControl/>
        <w:spacing w:line="50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七</w:t>
      </w:r>
      <w:r>
        <w:rPr>
          <w:rFonts w:hint="eastAsia" w:ascii="宋体" w:hAnsi="宋体" w:cs="宋体"/>
          <w:b/>
          <w:kern w:val="0"/>
          <w:sz w:val="24"/>
        </w:rPr>
        <w:t xml:space="preserve">、收费标准及缴费方式                                                                                                                        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1、培训费：每人收费</w:t>
      </w:r>
      <w:r>
        <w:rPr>
          <w:rFonts w:hint="eastAsia" w:ascii="宋体" w:hAnsi="宋体" w:cs="宋体"/>
          <w:kern w:val="0"/>
          <w:sz w:val="24"/>
          <w:lang w:val="en-US" w:eastAsia="zh-CN"/>
        </w:rPr>
        <w:t>7600</w:t>
      </w:r>
      <w:r>
        <w:rPr>
          <w:rFonts w:hint="eastAsia" w:ascii="宋体" w:hAnsi="宋体" w:cs="宋体"/>
          <w:kern w:val="0"/>
          <w:sz w:val="24"/>
        </w:rPr>
        <w:t>元（含</w:t>
      </w:r>
      <w:r>
        <w:rPr>
          <w:rFonts w:hint="eastAsia" w:ascii="宋体" w:hAnsi="宋体" w:cs="宋体"/>
          <w:kern w:val="0"/>
          <w:sz w:val="24"/>
          <w:lang w:eastAsia="zh-CN"/>
        </w:rPr>
        <w:t>咨询服务费、</w:t>
      </w:r>
      <w:r>
        <w:rPr>
          <w:rFonts w:hint="eastAsia" w:ascii="宋体" w:hAnsi="宋体" w:cs="宋体"/>
          <w:kern w:val="0"/>
          <w:sz w:val="24"/>
        </w:rPr>
        <w:t xml:space="preserve">培训费、场地费、结业证书等费用）；     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2、厦门班级食宿费用标准：院内食宿费用标准每人每天380元（含独立学员公寓、三餐及康体设施）；院内住宿资源紧张的情况下，住宿将安排在院外酒店，食宿费用标准以开课通知为准；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3、异地班级食宿费用标准：学院统一安排住宿，住宿费、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餐</w:t>
      </w:r>
      <w:r>
        <w:rPr>
          <w:rFonts w:hint="eastAsia" w:ascii="宋体" w:hAnsi="宋体" w:cs="宋体"/>
          <w:kern w:val="0"/>
          <w:sz w:val="24"/>
        </w:rPr>
        <w:t>费自理（其中培训费由厦门国家会计学院收取并</w:t>
      </w:r>
      <w:r>
        <w:rPr>
          <w:rFonts w:hint="eastAsia" w:ascii="宋体" w:hAnsi="宋体" w:cs="宋体"/>
          <w:kern w:val="0"/>
          <w:sz w:val="24"/>
          <w:lang w:eastAsia="zh-CN"/>
        </w:rPr>
        <w:t>提供</w:t>
      </w:r>
      <w:r>
        <w:rPr>
          <w:rFonts w:hint="eastAsia" w:ascii="宋体" w:hAnsi="宋体" w:cs="宋体"/>
          <w:kern w:val="0"/>
          <w:sz w:val="24"/>
        </w:rPr>
        <w:t>发票，食宿费由培训酒店收取并</w:t>
      </w:r>
      <w:r>
        <w:rPr>
          <w:rFonts w:hint="eastAsia" w:ascii="宋体" w:hAnsi="宋体" w:cs="宋体"/>
          <w:kern w:val="0"/>
          <w:sz w:val="24"/>
          <w:lang w:eastAsia="zh-CN"/>
        </w:rPr>
        <w:t>提供</w:t>
      </w:r>
      <w:r>
        <w:rPr>
          <w:rFonts w:hint="eastAsia" w:ascii="宋体" w:hAnsi="宋体" w:cs="宋体"/>
          <w:kern w:val="0"/>
          <w:sz w:val="24"/>
        </w:rPr>
        <w:t>发票</w:t>
      </w:r>
      <w:r>
        <w:rPr>
          <w:rFonts w:hint="eastAsia" w:ascii="宋体" w:hAnsi="宋体" w:cs="宋体"/>
          <w:kern w:val="0"/>
          <w:sz w:val="24"/>
          <w:lang w:eastAsia="zh-CN"/>
        </w:rPr>
        <w:t>），</w:t>
      </w:r>
      <w:r>
        <w:rPr>
          <w:rFonts w:hint="eastAsia" w:ascii="宋体" w:hAnsi="宋体" w:cs="宋体"/>
          <w:kern w:val="0"/>
          <w:sz w:val="24"/>
        </w:rPr>
        <w:t>食宿费用标准以开课通知为准；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4、培训费、食宿费报到时现场交纳（</w:t>
      </w:r>
      <w:r>
        <w:rPr>
          <w:rFonts w:hint="eastAsia" w:ascii="宋体" w:hAnsi="宋体" w:cs="宋体"/>
          <w:kern w:val="0"/>
          <w:sz w:val="24"/>
          <w:lang w:eastAsia="zh-CN"/>
        </w:rPr>
        <w:t>异地班级</w:t>
      </w:r>
      <w:r>
        <w:rPr>
          <w:rFonts w:hint="eastAsia" w:ascii="宋体" w:hAnsi="宋体" w:cs="宋体"/>
          <w:kern w:val="0"/>
          <w:sz w:val="24"/>
        </w:rPr>
        <w:t xml:space="preserve">培训费不接受现金，可支付宝、刷卡或微信）。                                                              </w:t>
      </w:r>
    </w:p>
    <w:p>
      <w:pPr>
        <w:widowControl/>
        <w:spacing w:line="5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七、结业证书                                                         </w:t>
      </w:r>
    </w:p>
    <w:p>
      <w:pPr>
        <w:shd w:val="clear" w:color="auto" w:fill="FFFFFF"/>
        <w:spacing w:line="54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培训班结束后由厦门国家会计学院颁发结业证书。</w:t>
      </w:r>
    </w:p>
    <w:p>
      <w:pPr>
        <w:shd w:val="clear" w:color="auto" w:fill="FFFFFF"/>
        <w:spacing w:line="500" w:lineRule="exact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八、报名咨询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李老师  0592-2578197 18965847980(微信同步)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szCs w:val="24"/>
        </w:rPr>
        <w:t>于老师  13910280750（微信同步）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30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spacing w:line="300" w:lineRule="exact"/>
        <w:jc w:val="both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spacing w:line="3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                         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厦门国家会计学院</w:t>
      </w:r>
    </w:p>
    <w:p>
      <w:pPr>
        <w:spacing w:line="480" w:lineRule="exact"/>
        <w:ind w:firstLine="6465" w:firstLineChars="23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sz w:val="28"/>
          <w:szCs w:val="28"/>
        </w:rPr>
        <w:t>月</w:t>
      </w:r>
    </w:p>
    <w:p>
      <w:pPr>
        <w:spacing w:line="640" w:lineRule="exact"/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640" w:lineRule="exact"/>
        <w:rPr>
          <w:rFonts w:hint="eastAsia" w:ascii="宋体" w:hAnsi="宋体" w:cs="宋体"/>
          <w:b/>
          <w:kern w:val="0"/>
          <w:sz w:val="28"/>
          <w:szCs w:val="28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新形势下企业财务骨干素质提升高级培训班报名回执表</w:t>
      </w:r>
    </w:p>
    <w:tbl>
      <w:tblPr>
        <w:tblStyle w:val="12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51"/>
        <w:gridCol w:w="878"/>
        <w:gridCol w:w="1117"/>
        <w:gridCol w:w="1338"/>
        <w:gridCol w:w="1558"/>
        <w:gridCol w:w="184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参加期数</w:t>
            </w:r>
          </w:p>
          <w:p>
            <w:pPr>
              <w:spacing w:line="420" w:lineRule="exact"/>
              <w:ind w:left="3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A班/B班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参加期数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报名程序：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"mailto:请将报名回执表填写完整后发送至85463535@qq.com"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请将报名回执表填写完整后发送至85463535@qq.com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李老师  电话：</w:t>
            </w:r>
            <w:r>
              <w:rPr>
                <w:rFonts w:hint="eastAsia" w:ascii="宋体" w:hAnsi="宋体" w:cs="宋体"/>
                <w:sz w:val="24"/>
              </w:rPr>
              <w:t>0592-2578197 18965847980(微信同步)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于老师  手机：13910280750（微信同步）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备注：学院谢绝学员携带家属和小孩，谢谢！</w:t>
            </w:r>
          </w:p>
        </w:tc>
      </w:tr>
    </w:tbl>
    <w:p>
      <w:pPr>
        <w:shd w:val="clear" w:color="auto" w:fill="FFFFFF"/>
        <w:spacing w:line="460" w:lineRule="exact"/>
        <w:rPr>
          <w:rFonts w:ascii="宋体" w:hAnsi="宋体" w:eastAsia="宋体" w:cs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YTRkNzY3ZmYzMTBjODhhNzBiZDdlZDlhODA5YzEifQ=="/>
  </w:docVars>
  <w:rsids>
    <w:rsidRoot w:val="00000000"/>
    <w:rsid w:val="178F73E6"/>
    <w:rsid w:val="25787F2E"/>
    <w:rsid w:val="3B4F33B8"/>
    <w:rsid w:val="52686160"/>
    <w:rsid w:val="5CD9256D"/>
    <w:rsid w:val="665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paragraph" w:styleId="4">
    <w:name w:val="heading 3"/>
    <w:basedOn w:val="1"/>
    <w:next w:val="1"/>
    <w:link w:val="3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2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宋体"/>
      <w:b/>
      <w:bCs/>
      <w:sz w:val="28"/>
      <w:szCs w:val="28"/>
    </w:rPr>
  </w:style>
  <w:style w:type="character" w:default="1" w:styleId="14">
    <w:name w:val="Default Paragraph Font"/>
    <w:autoRedefine/>
    <w:qFormat/>
    <w:uiPriority w:val="1"/>
  </w:style>
  <w:style w:type="table" w:default="1" w:styleId="12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autoRedefine/>
    <w:qFormat/>
    <w:uiPriority w:val="99"/>
    <w:rPr>
      <w:sz w:val="18"/>
      <w:szCs w:val="18"/>
    </w:rPr>
  </w:style>
  <w:style w:type="paragraph" w:styleId="7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Subtitle"/>
    <w:basedOn w:val="1"/>
    <w:next w:val="1"/>
    <w:link w:val="23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10">
    <w:name w:val="HTML Preformatted"/>
    <w:basedOn w:val="1"/>
    <w:link w:val="26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Emphasis"/>
    <w:basedOn w:val="14"/>
    <w:autoRedefine/>
    <w:qFormat/>
    <w:uiPriority w:val="0"/>
    <w:rPr>
      <w:i/>
      <w:iCs/>
    </w:rPr>
  </w:style>
  <w:style w:type="character" w:styleId="17">
    <w:name w:val="Hyperlink"/>
    <w:basedOn w:val="14"/>
    <w:autoRedefine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autoRedefine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0">
    <w:name w:val="批注框文本 Char"/>
    <w:basedOn w:val="14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23">
    <w:name w:val="副标题 Char"/>
    <w:basedOn w:val="14"/>
    <w:link w:val="9"/>
    <w:autoRedefine/>
    <w:qFormat/>
    <w:uiPriority w:val="0"/>
    <w:rPr>
      <w:rFonts w:ascii="Cambria" w:hAnsi="Cambria" w:cs="宋体"/>
      <w:b/>
      <w:bCs/>
      <w:kern w:val="28"/>
      <w:sz w:val="32"/>
      <w:szCs w:val="32"/>
    </w:rPr>
  </w:style>
  <w:style w:type="character" w:customStyle="1" w:styleId="24">
    <w:name w:val="标题 1 Char"/>
    <w:basedOn w:val="14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4"/>
    <w:link w:val="3"/>
    <w:autoRedefine/>
    <w:qFormat/>
    <w:uiPriority w:val="0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26">
    <w:name w:val="HTML 预设格式 Char"/>
    <w:basedOn w:val="14"/>
    <w:link w:val="10"/>
    <w:autoRedefine/>
    <w:qFormat/>
    <w:uiPriority w:val="99"/>
    <w:rPr>
      <w:rFonts w:ascii="宋体" w:hAnsi="宋体" w:cs="宋体"/>
      <w:sz w:val="24"/>
      <w:szCs w:val="24"/>
    </w:rPr>
  </w:style>
  <w:style w:type="paragraph" w:customStyle="1" w:styleId="27">
    <w:name w:val="padding2em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link w:val="29"/>
    <w:autoRedefine/>
    <w:qFormat/>
    <w:uiPriority w:val="0"/>
    <w:pPr>
      <w:spacing w:after="200"/>
      <w:ind w:firstLine="400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29">
    <w:name w:val="Body text|1_"/>
    <w:basedOn w:val="14"/>
    <w:link w:val="28"/>
    <w:autoRedefine/>
    <w:qFormat/>
    <w:uiPriority w:val="0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30">
    <w:name w:val="标题 51"/>
    <w:basedOn w:val="1"/>
    <w:autoRedefine/>
    <w:qFormat/>
    <w:uiPriority w:val="1"/>
    <w:pPr>
      <w:autoSpaceDE w:val="0"/>
      <w:autoSpaceDN w:val="0"/>
      <w:ind w:left="1161"/>
      <w:jc w:val="left"/>
      <w:outlineLvl w:val="5"/>
    </w:pPr>
    <w:rPr>
      <w:rFonts w:ascii="微软雅黑" w:hAnsi="微软雅黑" w:eastAsia="微软雅黑" w:cs="微软雅黑"/>
      <w:b/>
      <w:bCs/>
      <w:kern w:val="0"/>
      <w:sz w:val="22"/>
      <w:szCs w:val="22"/>
      <w:lang w:val="zh-CN" w:bidi="zh-CN"/>
    </w:rPr>
  </w:style>
  <w:style w:type="character" w:customStyle="1" w:styleId="31">
    <w:name w:val="标题 3 Char"/>
    <w:basedOn w:val="14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32">
    <w:name w:val="标题 4 Char"/>
    <w:basedOn w:val="14"/>
    <w:link w:val="5"/>
    <w:autoRedefine/>
    <w:qFormat/>
    <w:uiPriority w:val="0"/>
    <w:rPr>
      <w:rFonts w:ascii="Cambria" w:hAnsi="Cambria" w:eastAsia="宋体" w:cs="宋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2057</Words>
  <Characters>2193</Characters>
  <Paragraphs>224</Paragraphs>
  <TotalTime>0</TotalTime>
  <ScaleCrop>false</ScaleCrop>
  <LinksUpToDate>false</LinksUpToDate>
  <CharactersWithSpaces>6789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2020-12-07T02:40:00Z</dcterms:created>
  <dc:creator>于济铭</dc:creator>
  <cp:lastModifiedBy>18249705141</cp:lastModifiedBy>
  <dcterms:modified xsi:type="dcterms:W3CDTF">2024-03-22T02:58:15Z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B6B27F2DDB74489FA47C72B32B7AF418_13</vt:lpwstr>
  </property>
</Properties>
</file>